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4D02" w14:textId="77777777" w:rsidR="0068358C" w:rsidRDefault="00C349B9">
      <w:pPr>
        <w:pStyle w:val="Title"/>
        <w:jc w:val="center"/>
      </w:pPr>
      <w:r>
        <w:rPr>
          <w:noProof/>
        </w:rPr>
        <w:drawing>
          <wp:anchor distT="0" distB="0" distL="114300" distR="114300" simplePos="0" relativeHeight="251658240" behindDoc="0" locked="0" layoutInCell="1" allowOverlap="1" wp14:anchorId="600F680D" wp14:editId="4A17A9C4">
            <wp:simplePos x="0" y="0"/>
            <wp:positionH relativeFrom="column">
              <wp:posOffset>0</wp:posOffset>
            </wp:positionH>
            <wp:positionV relativeFrom="page">
              <wp:posOffset>0</wp:posOffset>
            </wp:positionV>
            <wp:extent cx="6202800" cy="692999"/>
            <wp:effectExtent l="0" t="0" r="7500" b="0"/>
            <wp:wrapSquare wrapText="bothSides"/>
            <wp:docPr id="2"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202800" cy="692999"/>
                    </a:xfrm>
                    <a:prstGeom prst="rect">
                      <a:avLst/>
                    </a:prstGeom>
                    <a:noFill/>
                    <a:ln>
                      <a:noFill/>
                    </a:ln>
                  </pic:spPr>
                </pic:pic>
              </a:graphicData>
            </a:graphic>
          </wp:anchor>
        </w:drawing>
      </w:r>
      <w:r>
        <w:rPr>
          <w:rFonts w:ascii="Noto Sans" w:hAnsi="Noto Sans"/>
          <w:lang w:val="fr-BE"/>
        </w:rPr>
        <w:t>Réunion Mensuelle du GAQ</w:t>
      </w:r>
    </w:p>
    <w:p w14:paraId="7A224A6C" w14:textId="77777777" w:rsidR="0068358C" w:rsidRDefault="00C349B9">
      <w:pPr>
        <w:pStyle w:val="Title"/>
        <w:jc w:val="center"/>
      </w:pPr>
      <w:r>
        <w:rPr>
          <w:rFonts w:ascii="Noto Sans" w:hAnsi="Noto Sans"/>
          <w:sz w:val="24"/>
          <w:szCs w:val="24"/>
          <w:lang w:val="fr-BE"/>
        </w:rPr>
        <w:t xml:space="preserve"> 5 novembre 2019</w:t>
      </w:r>
    </w:p>
    <w:p w14:paraId="108E0574" w14:textId="77777777" w:rsidR="0068358C" w:rsidRDefault="00C349B9">
      <w:pPr>
        <w:pStyle w:val="Heading1"/>
      </w:pPr>
      <w:r>
        <w:rPr>
          <w:rFonts w:ascii="Noto Sans" w:hAnsi="Noto Sans"/>
          <w:sz w:val="24"/>
          <w:szCs w:val="24"/>
        </w:rPr>
        <w:t>Ordre du jour</w:t>
      </w:r>
    </w:p>
    <w:p w14:paraId="3373DC21" w14:textId="77777777" w:rsidR="0068358C" w:rsidRDefault="00C349B9">
      <w:pPr>
        <w:pStyle w:val="Heading3"/>
        <w:numPr>
          <w:ilvl w:val="0"/>
          <w:numId w:val="30"/>
        </w:numPr>
        <w:spacing w:before="0" w:after="0"/>
      </w:pPr>
      <w:r>
        <w:rPr>
          <w:rFonts w:ascii="Noto Sans" w:hAnsi="Noto Sans" w:cs="Calibri"/>
          <w:color w:val="365F91"/>
        </w:rPr>
        <w:t>Le PAD Loi</w:t>
      </w:r>
    </w:p>
    <w:p w14:paraId="7ED09F2C" w14:textId="77777777" w:rsidR="0068358C" w:rsidRDefault="00C349B9" w:rsidP="00FC34DC">
      <w:pPr>
        <w:pStyle w:val="ListParagraph"/>
        <w:spacing w:after="0"/>
        <w:ind w:left="720" w:firstLine="0"/>
      </w:pPr>
      <w:r>
        <w:rPr>
          <w:rFonts w:ascii="Noto Sans" w:hAnsi="Noto Sans" w:cs="Calibri"/>
          <w:color w:val="365F91"/>
        </w:rPr>
        <w:t>Débat modéré par Pierre Luc Vervandier avec Isabelle Marchal (IEB) et Marion Alecian (ARAU)</w:t>
      </w:r>
    </w:p>
    <w:p w14:paraId="24775C3D" w14:textId="043B85E2" w:rsidR="0068358C" w:rsidRDefault="0068358C" w:rsidP="00FC34DC">
      <w:pPr>
        <w:spacing w:after="0"/>
      </w:pPr>
    </w:p>
    <w:p w14:paraId="121A5060" w14:textId="77777777" w:rsidR="0068358C" w:rsidRDefault="00C349B9" w:rsidP="00FC34DC">
      <w:pPr>
        <w:pStyle w:val="Heading3"/>
        <w:numPr>
          <w:ilvl w:val="0"/>
          <w:numId w:val="2"/>
        </w:numPr>
        <w:spacing w:before="0" w:after="0"/>
      </w:pPr>
      <w:r>
        <w:rPr>
          <w:rFonts w:ascii="Noto Sans" w:hAnsi="Noto Sans" w:cs="Calibri"/>
          <w:color w:val="365F91"/>
        </w:rPr>
        <w:t>Divers</w:t>
      </w:r>
      <w:r>
        <w:rPr>
          <w:rFonts w:ascii="Noto Sans" w:hAnsi="Noto Sans"/>
          <w:color w:val="365F91"/>
        </w:rPr>
        <w:t>    </w:t>
      </w:r>
    </w:p>
    <w:p w14:paraId="168A3FE7" w14:textId="77777777" w:rsidR="0068358C" w:rsidRDefault="00C349B9">
      <w:pPr>
        <w:pStyle w:val="Heading1"/>
      </w:pPr>
      <w:r>
        <w:rPr>
          <w:rFonts w:ascii="Noto Sans" w:hAnsi="Noto Sans"/>
          <w:sz w:val="24"/>
          <w:szCs w:val="24"/>
        </w:rPr>
        <w:t>Eléments principaux de présentations et débat PAD Loi</w:t>
      </w:r>
    </w:p>
    <w:p w14:paraId="50C25044" w14:textId="77777777" w:rsidR="0068358C" w:rsidRDefault="00C349B9">
      <w:pPr>
        <w:pStyle w:val="Standard"/>
        <w:spacing w:before="0" w:after="0"/>
      </w:pPr>
      <w:r>
        <w:rPr>
          <w:rFonts w:ascii="Noto Sans" w:hAnsi="Noto Sans" w:cs="Calibri"/>
          <w:b/>
          <w:color w:val="365F91"/>
          <w:sz w:val="24"/>
          <w:szCs w:val="24"/>
          <w:lang w:eastAsia="en-US"/>
        </w:rPr>
        <w:t>Isabelle Marchal (IEB – Inter environnement Bruxelles)</w:t>
      </w:r>
    </w:p>
    <w:p w14:paraId="7E0B08DD" w14:textId="77777777" w:rsidR="000049B2" w:rsidRDefault="00C349B9" w:rsidP="00FC34DC">
      <w:pPr>
        <w:pStyle w:val="Standard"/>
        <w:spacing w:before="0" w:after="0"/>
        <w:jc w:val="both"/>
        <w:rPr>
          <w:rFonts w:ascii="Noto Sans" w:hAnsi="Noto Sans" w:cs="Calibri"/>
          <w:lang w:eastAsia="en-US"/>
        </w:rPr>
      </w:pPr>
      <w:r>
        <w:rPr>
          <w:rFonts w:ascii="Noto Sans" w:hAnsi="Noto Sans" w:cs="Calibri"/>
          <w:b/>
          <w:u w:val="single"/>
          <w:lang w:eastAsia="en-US"/>
        </w:rPr>
        <w:t>Brève introduction</w:t>
      </w:r>
      <w:r>
        <w:rPr>
          <w:rFonts w:ascii="Noto Sans" w:hAnsi="Noto Sans" w:cs="Calibri"/>
          <w:lang w:eastAsia="en-US"/>
        </w:rPr>
        <w:t xml:space="preserve"> pour situer le Plan d’Aménagement Directeur (PAD) comme outil de planification urbaine. La loi qui régit </w:t>
      </w:r>
      <w:r w:rsidR="000049B2">
        <w:rPr>
          <w:rFonts w:ascii="Noto Sans" w:hAnsi="Noto Sans" w:cs="Calibri"/>
          <w:lang w:eastAsia="en-US"/>
        </w:rPr>
        <w:t>l’urbanisme a Bruxelles</w:t>
      </w:r>
      <w:r>
        <w:rPr>
          <w:rFonts w:ascii="Noto Sans" w:hAnsi="Noto Sans" w:cs="Calibri"/>
          <w:lang w:eastAsia="en-US"/>
        </w:rPr>
        <w:t xml:space="preserve"> est le Code Bruxellois d’Aménagement du Territoire (CoBAT).  Sobordonné au CoBAT,  on trouve un certain nombre de plans stratégiques, comme par exemple, le Plan Régional de Développement Durable (PRDD) </w:t>
      </w:r>
      <w:r w:rsidR="000049B2">
        <w:rPr>
          <w:rFonts w:ascii="Noto Sans" w:hAnsi="Noto Sans" w:cs="Calibri"/>
          <w:lang w:eastAsia="en-US"/>
        </w:rPr>
        <w:t>et pour mettre en oeuvre le tout</w:t>
      </w:r>
      <w:r>
        <w:rPr>
          <w:rFonts w:ascii="Noto Sans" w:hAnsi="Noto Sans" w:cs="Calibri"/>
          <w:lang w:eastAsia="en-US"/>
        </w:rPr>
        <w:t>,</w:t>
      </w:r>
      <w:r w:rsidR="000049B2">
        <w:rPr>
          <w:rFonts w:ascii="Noto Sans" w:hAnsi="Noto Sans" w:cs="Calibri"/>
          <w:lang w:eastAsia="en-US"/>
        </w:rPr>
        <w:t xml:space="preserve"> l'outil règlementaire appelé Règlement Regional d’Urbanisme </w:t>
      </w:r>
      <w:r>
        <w:rPr>
          <w:rFonts w:ascii="Noto Sans" w:hAnsi="Noto Sans" w:cs="Calibri"/>
          <w:lang w:eastAsia="en-US"/>
        </w:rPr>
        <w:t>(RRU).</w:t>
      </w:r>
    </w:p>
    <w:p w14:paraId="658FDBB9" w14:textId="77777777" w:rsidR="000049B2" w:rsidRDefault="000049B2" w:rsidP="00FC34DC">
      <w:pPr>
        <w:pStyle w:val="Standard"/>
        <w:spacing w:before="0" w:after="0"/>
        <w:jc w:val="both"/>
        <w:rPr>
          <w:rFonts w:ascii="Noto Sans" w:hAnsi="Noto Sans" w:cs="Calibri"/>
          <w:lang w:eastAsia="en-US"/>
        </w:rPr>
      </w:pPr>
    </w:p>
    <w:p w14:paraId="29C6A15D" w14:textId="44293910" w:rsidR="00FC34DC" w:rsidRDefault="00C349B9" w:rsidP="00FC34DC">
      <w:pPr>
        <w:pStyle w:val="Standard"/>
        <w:spacing w:before="0" w:after="0"/>
        <w:jc w:val="both"/>
        <w:rPr>
          <w:rFonts w:ascii="Noto Sans" w:hAnsi="Noto Sans" w:cs="Calibri"/>
          <w:lang w:eastAsia="en-US"/>
        </w:rPr>
      </w:pPr>
      <w:r>
        <w:rPr>
          <w:rFonts w:ascii="Noto Sans" w:hAnsi="Noto Sans" w:cs="Calibri"/>
          <w:lang w:eastAsia="en-US"/>
        </w:rPr>
        <w:t>Les PADs (il y en aura au total 12 pour la Région Bruxelles Capitale) ont la particularité d'être des outils à la fois stratégiques ET réglementaires qui ont essentielle</w:t>
      </w:r>
      <w:r w:rsidR="000049B2">
        <w:rPr>
          <w:rFonts w:ascii="Noto Sans" w:hAnsi="Noto Sans" w:cs="Calibri"/>
          <w:lang w:eastAsia="en-US"/>
        </w:rPr>
        <w:t>ment pour but de déroger au RRU</w:t>
      </w:r>
      <w:r>
        <w:rPr>
          <w:rFonts w:ascii="Noto Sans" w:hAnsi="Noto Sans" w:cs="Calibri"/>
          <w:lang w:eastAsia="en-US"/>
        </w:rPr>
        <w:t xml:space="preserve"> dans le périmètre des zones couvertes par les PADs.</w:t>
      </w:r>
    </w:p>
    <w:p w14:paraId="7C7EF134" w14:textId="77777777" w:rsidR="00FC34DC" w:rsidRPr="00FC34DC" w:rsidRDefault="00FC34DC" w:rsidP="00FC34DC">
      <w:pPr>
        <w:pStyle w:val="Standard"/>
        <w:spacing w:before="0" w:after="0"/>
        <w:jc w:val="both"/>
        <w:rPr>
          <w:rFonts w:ascii="Noto Sans" w:hAnsi="Noto Sans" w:cs="Calibri"/>
          <w:lang w:eastAsia="en-US"/>
        </w:rPr>
      </w:pPr>
    </w:p>
    <w:p w14:paraId="2CF8424A" w14:textId="4B13E806" w:rsidR="00FC34DC" w:rsidRDefault="00C349B9" w:rsidP="00FC34DC">
      <w:pPr>
        <w:pStyle w:val="Standard"/>
        <w:spacing w:before="0" w:after="0"/>
        <w:jc w:val="both"/>
        <w:rPr>
          <w:rFonts w:ascii="Noto Sans" w:hAnsi="Noto Sans" w:cs="Calibri"/>
          <w:lang w:eastAsia="en-US"/>
        </w:rPr>
      </w:pPr>
      <w:r>
        <w:rPr>
          <w:rFonts w:ascii="Noto Sans" w:hAnsi="Noto Sans" w:cs="Calibri"/>
          <w:lang w:eastAsia="en-US"/>
        </w:rPr>
        <w:t>Les PADs sont principalement justfiés par la</w:t>
      </w:r>
      <w:r w:rsidR="000049B2">
        <w:rPr>
          <w:rFonts w:ascii="Noto Sans" w:hAnsi="Noto Sans" w:cs="Calibri"/>
          <w:lang w:eastAsia="en-US"/>
        </w:rPr>
        <w:t xml:space="preserve"> pression démographique. Etant donne que la Region est confinee,</w:t>
      </w:r>
      <w:r>
        <w:rPr>
          <w:rFonts w:ascii="Noto Sans" w:hAnsi="Noto Sans" w:cs="Calibri"/>
          <w:lang w:eastAsia="en-US"/>
        </w:rPr>
        <w:t xml:space="preserve"> il faut donc densifier en hauteur</w:t>
      </w:r>
      <w:r w:rsidR="000049B2">
        <w:rPr>
          <w:rFonts w:ascii="Noto Sans" w:hAnsi="Noto Sans" w:cs="Calibri"/>
          <w:lang w:eastAsia="en-US"/>
        </w:rPr>
        <w:t>.   C</w:t>
      </w:r>
      <w:r>
        <w:rPr>
          <w:rFonts w:ascii="Noto Sans" w:hAnsi="Noto Sans" w:cs="Calibri"/>
          <w:lang w:eastAsia="en-US"/>
        </w:rPr>
        <w:t>e discours était d</w:t>
      </w:r>
      <w:r w:rsidR="000049B2">
        <w:rPr>
          <w:rFonts w:ascii="Noto Sans" w:hAnsi="Noto Sans" w:cs="Calibri"/>
          <w:lang w:eastAsia="en-US"/>
        </w:rPr>
        <w:t xml:space="preserve">éjà présent dans le </w:t>
      </w:r>
      <w:r w:rsidR="008155E6">
        <w:rPr>
          <w:rFonts w:ascii="Noto Sans" w:hAnsi="Noto Sans" w:cs="Calibri"/>
        </w:rPr>
        <w:t>Plan Urbain Loi (</w:t>
      </w:r>
      <w:r w:rsidR="000049B2">
        <w:rPr>
          <w:rFonts w:ascii="Noto Sans" w:hAnsi="Noto Sans" w:cs="Calibri"/>
          <w:lang w:eastAsia="en-US"/>
        </w:rPr>
        <w:t>PUL</w:t>
      </w:r>
      <w:r w:rsidR="008155E6">
        <w:rPr>
          <w:rFonts w:ascii="Noto Sans" w:hAnsi="Noto Sans" w:cs="Calibri"/>
          <w:lang w:eastAsia="en-US"/>
        </w:rPr>
        <w:t xml:space="preserve">) </w:t>
      </w:r>
      <w:r w:rsidR="000049B2">
        <w:rPr>
          <w:rFonts w:ascii="Noto Sans" w:hAnsi="Noto Sans" w:cs="Calibri"/>
          <w:lang w:eastAsia="en-US"/>
        </w:rPr>
        <w:t>en 200</w:t>
      </w:r>
      <w:r w:rsidR="008155E6">
        <w:rPr>
          <w:rFonts w:ascii="Noto Sans" w:hAnsi="Noto Sans" w:cs="Calibri"/>
          <w:lang w:eastAsia="en-US"/>
        </w:rPr>
        <w:t>8</w:t>
      </w:r>
      <w:r>
        <w:rPr>
          <w:rFonts w:ascii="Noto Sans" w:hAnsi="Noto Sans" w:cs="Calibri"/>
          <w:lang w:eastAsia="en-US"/>
        </w:rPr>
        <w:t>.  Mais entre temps, la donne a changé :  les chiffres de croissance démographique ont été revus à la baisse... mais les projets de tours sont restés !</w:t>
      </w:r>
    </w:p>
    <w:p w14:paraId="55B91189" w14:textId="77777777" w:rsidR="00FC34DC" w:rsidRPr="00FC34DC" w:rsidRDefault="00FC34DC" w:rsidP="00FC34DC">
      <w:pPr>
        <w:pStyle w:val="Standard"/>
        <w:spacing w:before="0" w:after="0"/>
        <w:jc w:val="both"/>
        <w:rPr>
          <w:rFonts w:ascii="Noto Sans" w:hAnsi="Noto Sans" w:cs="Calibri"/>
          <w:lang w:eastAsia="en-US"/>
        </w:rPr>
      </w:pPr>
    </w:p>
    <w:p w14:paraId="37E28911" w14:textId="08B111EB" w:rsidR="00FC34DC" w:rsidRDefault="00C349B9" w:rsidP="00FC34DC">
      <w:pPr>
        <w:pStyle w:val="Standard"/>
        <w:spacing w:before="0" w:after="0"/>
        <w:jc w:val="both"/>
        <w:rPr>
          <w:rFonts w:ascii="Noto Sans" w:hAnsi="Noto Sans" w:cs="Calibri"/>
          <w:lang w:eastAsia="en-US"/>
        </w:rPr>
      </w:pPr>
      <w:r>
        <w:rPr>
          <w:rFonts w:ascii="Noto Sans" w:hAnsi="Noto Sans" w:cs="Calibri"/>
          <w:lang w:eastAsia="en-US"/>
        </w:rPr>
        <w:t>L'un des grands objectifs du PAD Loi est la volo</w:t>
      </w:r>
      <w:r w:rsidR="000049B2">
        <w:rPr>
          <w:rFonts w:ascii="Noto Sans" w:hAnsi="Noto Sans" w:cs="Calibri"/>
          <w:lang w:eastAsia="en-US"/>
        </w:rPr>
        <w:t xml:space="preserve">nté de réintroduire </w:t>
      </w:r>
      <w:r>
        <w:rPr>
          <w:rFonts w:ascii="Noto Sans" w:hAnsi="Noto Sans" w:cs="Calibri"/>
          <w:lang w:eastAsia="en-US"/>
        </w:rPr>
        <w:t>du logement et de rendre plus mixte un quartier aujourd’hui considéré comme monofonctionnel.  Pour ce faire il encourage la démolition de l’existant et la construction de bâtiments neufs.  Il s’agira d’un chantier qui durera 30 ans. Toutefois, si le but est de rendre le quartier plus agréable à vivre, on peut se demander si ces belles intentions ne sont pas en contradiction avec la réalité d'un chantier de plusieurs dizaines d'années.</w:t>
      </w:r>
    </w:p>
    <w:p w14:paraId="0C091574" w14:textId="77777777" w:rsidR="00FC34DC" w:rsidRPr="00FC34DC" w:rsidRDefault="00FC34DC" w:rsidP="00FC34DC">
      <w:pPr>
        <w:pStyle w:val="Standard"/>
        <w:spacing w:before="0" w:after="0"/>
        <w:jc w:val="both"/>
        <w:rPr>
          <w:rFonts w:ascii="Noto Sans" w:hAnsi="Noto Sans" w:cs="Calibri"/>
          <w:lang w:eastAsia="en-US"/>
        </w:rPr>
      </w:pPr>
    </w:p>
    <w:p w14:paraId="0ACEAD6D" w14:textId="1EC2B843" w:rsidR="0068358C" w:rsidRDefault="00C349B9" w:rsidP="00FC34DC">
      <w:pPr>
        <w:pStyle w:val="Standard"/>
        <w:spacing w:before="0" w:after="0"/>
        <w:jc w:val="both"/>
      </w:pPr>
      <w:r>
        <w:rPr>
          <w:rFonts w:ascii="Noto Sans" w:hAnsi="Noto Sans" w:cs="Calibri"/>
          <w:lang w:eastAsia="en-US"/>
        </w:rPr>
        <w:t>Autre contradiction ou faibles</w:t>
      </w:r>
      <w:r w:rsidR="008155E6">
        <w:rPr>
          <w:rFonts w:ascii="Noto Sans" w:hAnsi="Noto Sans" w:cs="Calibri"/>
          <w:lang w:eastAsia="en-US"/>
        </w:rPr>
        <w:t xml:space="preserve">se relevée dans la méthodoligie : </w:t>
      </w:r>
      <w:r>
        <w:rPr>
          <w:rFonts w:ascii="Noto Sans" w:hAnsi="Noto Sans" w:cs="Calibri"/>
          <w:lang w:eastAsia="en-US"/>
        </w:rPr>
        <w:t xml:space="preserve">chacun des PADs est envisagé comme une zone dont les incidences sont évaluées individuellement, alors que vu leur proximité, voire </w:t>
      </w:r>
      <w:r w:rsidR="008155E6">
        <w:rPr>
          <w:rFonts w:ascii="Noto Sans" w:hAnsi="Noto Sans" w:cs="Calibri"/>
          <w:lang w:eastAsia="en-US"/>
        </w:rPr>
        <w:t xml:space="preserve">dans certains cas </w:t>
      </w:r>
      <w:r>
        <w:rPr>
          <w:rFonts w:ascii="Noto Sans" w:hAnsi="Noto Sans" w:cs="Calibri"/>
          <w:lang w:eastAsia="en-US"/>
        </w:rPr>
        <w:t>leur</w:t>
      </w:r>
      <w:r w:rsidR="008155E6">
        <w:rPr>
          <w:rFonts w:ascii="Noto Sans" w:hAnsi="Noto Sans" w:cs="Calibri"/>
          <w:lang w:eastAsia="en-US"/>
        </w:rPr>
        <w:t xml:space="preserve"> contigüité,</w:t>
      </w:r>
      <w:r>
        <w:rPr>
          <w:rFonts w:ascii="Noto Sans" w:hAnsi="Noto Sans" w:cs="Calibri"/>
          <w:lang w:eastAsia="en-US"/>
        </w:rPr>
        <w:t xml:space="preserve"> ils s’influenceront </w:t>
      </w:r>
      <w:r w:rsidR="008155E6">
        <w:rPr>
          <w:rFonts w:ascii="Noto Sans" w:hAnsi="Noto Sans" w:cs="Calibri"/>
          <w:lang w:eastAsia="en-US"/>
        </w:rPr>
        <w:t xml:space="preserve">certainement mutuellement et </w:t>
      </w:r>
      <w:r>
        <w:rPr>
          <w:rFonts w:ascii="Noto Sans" w:hAnsi="Noto Sans" w:cs="Calibri"/>
          <w:lang w:eastAsia="en-US"/>
        </w:rPr>
        <w:t>il faudrait donc raisonner sur l’ensemble du territoire.</w:t>
      </w:r>
    </w:p>
    <w:p w14:paraId="35DFDBB5" w14:textId="77777777" w:rsidR="0068358C" w:rsidRDefault="0068358C">
      <w:pPr>
        <w:pStyle w:val="Standard"/>
        <w:spacing w:before="0" w:after="0"/>
        <w:rPr>
          <w:rFonts w:ascii="Noto Sans" w:hAnsi="Noto Sans" w:cs="Calibri"/>
          <w:lang w:eastAsia="en-US"/>
        </w:rPr>
      </w:pPr>
    </w:p>
    <w:p w14:paraId="67FC6F91" w14:textId="77777777" w:rsidR="0068358C" w:rsidRDefault="00C349B9">
      <w:pPr>
        <w:pStyle w:val="Standard"/>
        <w:spacing w:before="0" w:after="0"/>
      </w:pPr>
      <w:r>
        <w:rPr>
          <w:rFonts w:ascii="Noto Sans" w:hAnsi="Noto Sans" w:cs="Calibri"/>
          <w:b/>
          <w:color w:val="365F91"/>
          <w:sz w:val="24"/>
          <w:szCs w:val="24"/>
          <w:lang w:eastAsia="en-US"/>
        </w:rPr>
        <w:t>Marion Alecian (ARAU – Atelier de recherche et d’action urbaine) complétée par Isabelle Marchal</w:t>
      </w:r>
    </w:p>
    <w:p w14:paraId="6D7DDCBC" w14:textId="6404DE07" w:rsidR="0068358C" w:rsidRPr="00FC34DC" w:rsidRDefault="00C349B9" w:rsidP="00FC34DC">
      <w:pPr>
        <w:pStyle w:val="Standard"/>
        <w:spacing w:before="0" w:after="0"/>
        <w:jc w:val="both"/>
      </w:pPr>
      <w:r>
        <w:rPr>
          <w:rFonts w:ascii="Noto Sans" w:hAnsi="Noto Sans" w:cs="Calibri"/>
          <w:lang w:eastAsia="en-US"/>
        </w:rPr>
        <w:t xml:space="preserve">Le PAD Loi ne propose pas </w:t>
      </w:r>
      <w:r>
        <w:rPr>
          <w:rFonts w:ascii="Noto Sans" w:hAnsi="Noto Sans" w:cs="Calibri"/>
          <w:b/>
          <w:u w:val="single"/>
          <w:lang w:eastAsia="en-US"/>
        </w:rPr>
        <w:t>véritablement un nouveau projet urbanistique</w:t>
      </w:r>
      <w:r>
        <w:rPr>
          <w:rFonts w:ascii="Noto Sans" w:hAnsi="Noto Sans" w:cs="Calibri"/>
          <w:lang w:eastAsia="en-US"/>
        </w:rPr>
        <w:t xml:space="preserve"> cohérent pour le quartier européen mais </w:t>
      </w:r>
      <w:r>
        <w:rPr>
          <w:rFonts w:ascii="Noto Sans" w:hAnsi="Noto Sans" w:cs="Calibri"/>
          <w:b/>
          <w:lang w:eastAsia="en-US"/>
        </w:rPr>
        <w:t>développe un</w:t>
      </w:r>
      <w:r>
        <w:rPr>
          <w:rFonts w:ascii="Noto Sans" w:hAnsi="Noto Sans" w:cs="Calibri"/>
          <w:lang w:eastAsia="en-US"/>
        </w:rPr>
        <w:t xml:space="preserve"> cadre règlementaire qui facilite les projets de certains promoteurs immobiliers (Atenor) et plus encore le projet de la Commission européenne sur l’îlot 130. </w:t>
      </w:r>
      <w:r w:rsidR="008155E6">
        <w:rPr>
          <w:rFonts w:ascii="Noto Sans" w:hAnsi="Noto Sans" w:cs="Calibri"/>
          <w:lang w:eastAsia="en-US"/>
        </w:rPr>
        <w:t xml:space="preserve"> </w:t>
      </w:r>
      <w:r>
        <w:rPr>
          <w:rFonts w:ascii="Noto Sans" w:hAnsi="Noto Sans" w:cs="Calibri"/>
          <w:lang w:eastAsia="en-US"/>
        </w:rPr>
        <w:t xml:space="preserve">La Ville de Bruxelles a fait une analyse très judicieuse à cet égard (voir texte joint) et il peut être utilisé pour rédiger un avis.  La première question à se poser est donc la suivante : ce PAD Loi est fait pour rencontrer quels objectifs ? et pour qui ? Pour les habitants ? Ou </w:t>
      </w:r>
      <w:r>
        <w:rPr>
          <w:rFonts w:ascii="Noto Sans" w:hAnsi="Noto Sans" w:cs="Calibri"/>
          <w:lang w:eastAsia="en-US"/>
        </w:rPr>
        <w:lastRenderedPageBreak/>
        <w:t>pour permettre à la CE de construire l’ilot 130 et à Atenor de construire une deuxième tour à côté de la tour The One ? Qu’est-ce que les habitants, les Bruxellois, les usagers de la rue de la loi peuvent attendre de ce PAD ?</w:t>
      </w:r>
    </w:p>
    <w:p w14:paraId="108A02D9" w14:textId="77777777" w:rsidR="0068358C" w:rsidRDefault="00C349B9" w:rsidP="00FC34DC">
      <w:pPr>
        <w:pStyle w:val="ListParagraph"/>
        <w:numPr>
          <w:ilvl w:val="0"/>
          <w:numId w:val="31"/>
        </w:numPr>
        <w:spacing w:before="28" w:after="0"/>
        <w:jc w:val="both"/>
      </w:pPr>
      <w:r>
        <w:rPr>
          <w:rFonts w:ascii="Noto Sans" w:hAnsi="Noto Sans" w:cs="Calibri"/>
        </w:rPr>
        <w:t>Le PAD Loi reflète ce qui avait déjà été pensé pour le PUL (Plan Urbain Loi).  Ce dernier avait été critiqué par le milieu associatif et l’ARAU car il imposait/aggravait la</w:t>
      </w:r>
      <w:r>
        <w:rPr>
          <w:rFonts w:ascii="Noto Sans" w:hAnsi="Noto Sans" w:cs="Calibri"/>
          <w:u w:val="single"/>
        </w:rPr>
        <w:t xml:space="preserve"> </w:t>
      </w:r>
      <w:r>
        <w:rPr>
          <w:rFonts w:ascii="Noto Sans" w:hAnsi="Noto Sans" w:cs="Calibri"/>
          <w:b/>
          <w:u w:val="single"/>
        </w:rPr>
        <w:t>fracture que constitue la rue de la Loi pour l’habitabilité du le quartier</w:t>
      </w:r>
      <w:r>
        <w:rPr>
          <w:rFonts w:ascii="Noto Sans" w:hAnsi="Noto Sans" w:cs="Calibri"/>
        </w:rPr>
        <w:t xml:space="preserve">.  Le PUL partait d’un principe, un credo qui était que la nouvelle forme urbaine qu’il proposait (hautes tours « emblématiques », reculs d’alignements et espaces ouverts des îlots)  allait améliorer l’image de l’Europe et de Bruxelles auprès des citoyens.  Cette croyance est pour l’ARAU dangereuse. Les effets de cette nouvelle forme urbaine (et potentiellement des chantiers de plusieurs décennies) sont contraires : détérioration de l’environnement et dégradation de la qualité de vie, espaces publics inefficaces. Le PAD Loi qui vient plus de 10 ans plus tard, reprend exactement la même logique et les mêmes objectifs. Les priorités de la société ont cependant changé. Il suffit de penser </w:t>
      </w:r>
      <w:r>
        <w:rPr>
          <w:rFonts w:ascii="Noto Sans" w:hAnsi="Noto Sans" w:cs="Calibri"/>
          <w:b/>
          <w:u w:val="single"/>
        </w:rPr>
        <w:t>au climat</w:t>
      </w:r>
      <w:r>
        <w:rPr>
          <w:rFonts w:ascii="Noto Sans" w:hAnsi="Noto Sans" w:cs="Calibri"/>
        </w:rPr>
        <w:t>.  Le PAD reste dans la continuité d’un urbanisme fonctionnaliste des années 60, répartissant les zones selon des fonctions bureaux, commerce, logement, malgré une volonté de mixité (qui manque, on le verra, d’outils opérationnels convaincants).</w:t>
      </w:r>
    </w:p>
    <w:p w14:paraId="199BFDB3" w14:textId="77777777" w:rsidR="0068358C" w:rsidRDefault="0068358C" w:rsidP="00FC34DC">
      <w:pPr>
        <w:pStyle w:val="ListParagraph"/>
        <w:spacing w:before="28" w:after="0"/>
        <w:ind w:left="360" w:firstLine="0"/>
        <w:jc w:val="both"/>
        <w:rPr>
          <w:rFonts w:ascii="Noto Sans" w:hAnsi="Noto Sans" w:cs="Calibri"/>
        </w:rPr>
      </w:pPr>
    </w:p>
    <w:p w14:paraId="10607EB7" w14:textId="77777777" w:rsidR="0068358C" w:rsidRDefault="00C349B9" w:rsidP="00FC34DC">
      <w:pPr>
        <w:pStyle w:val="ListParagraph"/>
        <w:numPr>
          <w:ilvl w:val="0"/>
          <w:numId w:val="28"/>
        </w:numPr>
        <w:spacing w:before="28" w:after="0"/>
        <w:jc w:val="both"/>
      </w:pPr>
      <w:r>
        <w:rPr>
          <w:rFonts w:ascii="Noto Sans" w:hAnsi="Noto Sans" w:cs="Calibri"/>
        </w:rPr>
        <w:t xml:space="preserve">En architecture on sait que </w:t>
      </w:r>
      <w:r>
        <w:rPr>
          <w:rFonts w:ascii="Noto Sans" w:hAnsi="Noto Sans" w:cs="Calibri"/>
          <w:b/>
          <w:u w:val="single"/>
        </w:rPr>
        <w:t>les tours</w:t>
      </w:r>
      <w:r>
        <w:rPr>
          <w:rFonts w:ascii="Noto Sans" w:hAnsi="Noto Sans" w:cs="Calibri"/>
        </w:rPr>
        <w:t xml:space="preserve"> (le mot « émergences » dans le PAD = tours) apportent un lot de nuisances environnementales, qu’elles sont énergivores, qu’elles favorisent la spéculation foncière …  Très parlant était la  présentation faite par un riverain membre du GAQ sur l’impact ombre sur le quartier et les parcs, surtout au nord de la rue de la loi (en annexe).</w:t>
      </w:r>
    </w:p>
    <w:p w14:paraId="60E9FF48" w14:textId="77777777" w:rsidR="0068358C" w:rsidRDefault="0068358C" w:rsidP="00FC34DC">
      <w:pPr>
        <w:pStyle w:val="Standard"/>
        <w:spacing w:before="0" w:after="0"/>
        <w:jc w:val="both"/>
        <w:rPr>
          <w:rFonts w:ascii="Noto Sans" w:hAnsi="Noto Sans" w:cs="Calibri"/>
        </w:rPr>
      </w:pPr>
    </w:p>
    <w:p w14:paraId="0BF34DF8" w14:textId="77777777" w:rsidR="0068358C" w:rsidRDefault="00C349B9" w:rsidP="00FC34DC">
      <w:pPr>
        <w:pStyle w:val="ListParagraph"/>
        <w:numPr>
          <w:ilvl w:val="0"/>
          <w:numId w:val="28"/>
        </w:numPr>
        <w:spacing w:before="28" w:after="0"/>
        <w:jc w:val="both"/>
      </w:pPr>
      <w:r>
        <w:rPr>
          <w:rFonts w:ascii="Noto Sans" w:hAnsi="Noto Sans" w:cs="Calibri"/>
        </w:rPr>
        <w:t xml:space="preserve">Quasi tout le PAD se base sur le principe de la </w:t>
      </w:r>
      <w:r>
        <w:rPr>
          <w:rFonts w:ascii="Noto Sans" w:hAnsi="Noto Sans" w:cs="Calibri"/>
          <w:b/>
          <w:u w:val="single"/>
        </w:rPr>
        <w:t>démolition/construction</w:t>
      </w:r>
      <w:r>
        <w:rPr>
          <w:rFonts w:ascii="Noto Sans" w:hAnsi="Noto Sans" w:cs="Calibri"/>
        </w:rPr>
        <w:t xml:space="preserve"> de neuf. Le coût environnemental en est exorbitant.</w:t>
      </w:r>
    </w:p>
    <w:p w14:paraId="1002CA49" w14:textId="77777777" w:rsidR="0068358C" w:rsidRDefault="0068358C" w:rsidP="00FC34DC">
      <w:pPr>
        <w:pStyle w:val="Standard"/>
        <w:spacing w:before="0" w:after="0"/>
        <w:jc w:val="both"/>
        <w:rPr>
          <w:rFonts w:ascii="Noto Sans" w:hAnsi="Noto Sans" w:cs="Calibri"/>
        </w:rPr>
      </w:pPr>
    </w:p>
    <w:p w14:paraId="561705EB" w14:textId="77777777" w:rsidR="0068358C" w:rsidRDefault="00C349B9" w:rsidP="00FC34DC">
      <w:pPr>
        <w:pStyle w:val="ListParagraph"/>
        <w:numPr>
          <w:ilvl w:val="0"/>
          <w:numId w:val="28"/>
        </w:numPr>
        <w:spacing w:before="28" w:after="0"/>
        <w:jc w:val="both"/>
      </w:pPr>
      <w:r>
        <w:rPr>
          <w:rFonts w:ascii="Noto Sans" w:hAnsi="Noto Sans" w:cs="Calibri"/>
        </w:rPr>
        <w:t xml:space="preserve">Puis il y a surtout la question de la </w:t>
      </w:r>
      <w:r>
        <w:rPr>
          <w:rFonts w:ascii="Noto Sans" w:hAnsi="Noto Sans" w:cs="Calibri"/>
          <w:b/>
          <w:u w:val="single"/>
        </w:rPr>
        <w:t>mobilité</w:t>
      </w:r>
      <w:r>
        <w:rPr>
          <w:rFonts w:ascii="Noto Sans" w:hAnsi="Noto Sans" w:cs="Calibri"/>
        </w:rPr>
        <w:t>, qui dans le quartier est un problème réel des habitants et utilisateurs et qui est complètement évacuée par le PAD (il y a juste un petit paragraphe laconique).  Il se déclare incompétent sur ce volet (sauf pour accorder des parkings ?), car là c’est le plan GoodMove qui prendra la relève et que ce serait à l’entrée de la Région que tous les problèmes devrient être réglés. C’est faux. Des choix très locaux (fermeture de trémies routières, nouvelle ligne de tram, diminution des bandes dévolues à la voiture…) peuvent avoir un effet direct bénéfique pour le quartier.  Cette vision urbanistique est absente du plan. Il y a ici matière à revendications pour les habitants : des demandes très précises pour l’espace public de la rue de la Loi devraient être faites par les habitants (pétition pour un tram, une zone de rencontre 20 km/h et piétons prioritaires… ?)</w:t>
      </w:r>
    </w:p>
    <w:p w14:paraId="4C4AF970" w14:textId="77777777" w:rsidR="0068358C" w:rsidRDefault="0068358C" w:rsidP="00FC34DC">
      <w:pPr>
        <w:pStyle w:val="Standard"/>
        <w:spacing w:before="0" w:after="0"/>
        <w:jc w:val="both"/>
        <w:rPr>
          <w:rFonts w:ascii="Noto Sans" w:hAnsi="Noto Sans" w:cs="Calibri"/>
        </w:rPr>
      </w:pPr>
    </w:p>
    <w:p w14:paraId="73501B32" w14:textId="77777777" w:rsidR="0068358C" w:rsidRDefault="00C349B9" w:rsidP="00FC34DC">
      <w:pPr>
        <w:pStyle w:val="ListParagraph"/>
        <w:numPr>
          <w:ilvl w:val="0"/>
          <w:numId w:val="28"/>
        </w:numPr>
        <w:spacing w:before="28" w:after="0"/>
        <w:jc w:val="both"/>
      </w:pPr>
      <w:r>
        <w:rPr>
          <w:rFonts w:ascii="Noto Sans" w:hAnsi="Noto Sans" w:cs="Calibri"/>
        </w:rPr>
        <w:t xml:space="preserve">Le </w:t>
      </w:r>
      <w:r>
        <w:rPr>
          <w:rFonts w:ascii="Noto Sans" w:hAnsi="Noto Sans" w:cs="Calibri"/>
          <w:b/>
          <w:u w:val="single"/>
        </w:rPr>
        <w:t>périmètre du PAD</w:t>
      </w:r>
      <w:r>
        <w:rPr>
          <w:rFonts w:ascii="Noto Sans" w:hAnsi="Noto Sans" w:cs="Calibri"/>
        </w:rPr>
        <w:t xml:space="preserve"> n’est pas pertinent.  Pourquoi il se limite à la seule rue de la Loi. Pourquoi il n’englobe pas aussi la rue Belliard, les rues Stevin et Joseph II et tout ce qui est autour ? S’il s’agit de revitaliser un quartier résidentiel il faudrait un PAD sur un rayon plus vaste. Il faut tisser des liens avec toutes les rues alentour.</w:t>
      </w:r>
    </w:p>
    <w:p w14:paraId="63304160" w14:textId="77777777" w:rsidR="0068358C" w:rsidRDefault="0068358C" w:rsidP="00FC34DC">
      <w:pPr>
        <w:pStyle w:val="Standard"/>
        <w:spacing w:before="0" w:after="0"/>
        <w:jc w:val="both"/>
        <w:rPr>
          <w:rFonts w:ascii="Noto Sans" w:hAnsi="Noto Sans" w:cs="Calibri"/>
        </w:rPr>
      </w:pPr>
    </w:p>
    <w:p w14:paraId="4D48F596" w14:textId="77777777" w:rsidR="0068358C" w:rsidRDefault="00C349B9" w:rsidP="00FC34DC">
      <w:pPr>
        <w:pStyle w:val="ListParagraph"/>
        <w:numPr>
          <w:ilvl w:val="0"/>
          <w:numId w:val="28"/>
        </w:numPr>
        <w:spacing w:before="28" w:after="0"/>
        <w:jc w:val="both"/>
      </w:pPr>
      <w:r>
        <w:rPr>
          <w:rFonts w:ascii="Noto Sans" w:hAnsi="Noto Sans" w:cs="Calibri"/>
        </w:rPr>
        <w:t>Le point positif du PAD est qu’il veut réintroduire du</w:t>
      </w:r>
      <w:r>
        <w:rPr>
          <w:rFonts w:ascii="Noto Sans" w:hAnsi="Noto Sans" w:cs="Calibri"/>
          <w:b/>
        </w:rPr>
        <w:t xml:space="preserve"> l</w:t>
      </w:r>
      <w:r>
        <w:rPr>
          <w:rFonts w:ascii="Noto Sans" w:hAnsi="Noto Sans" w:cs="Calibri"/>
          <w:b/>
          <w:u w:val="single"/>
        </w:rPr>
        <w:t>ogement</w:t>
      </w:r>
      <w:r>
        <w:rPr>
          <w:rFonts w:ascii="Noto Sans" w:hAnsi="Noto Sans" w:cs="Calibri"/>
        </w:rPr>
        <w:t xml:space="preserve"> dans le quartier.  Cependant AQL fait remarquer que l’endroit par excellence où la rue de la Loi se prête à du logement est à la hauteur de la vallée du Maelbeek.  Et là les constructions de la CE et d’Athenor prévoient très peu ou pas de logements.</w:t>
      </w:r>
    </w:p>
    <w:p w14:paraId="0302630C" w14:textId="77777777" w:rsidR="0068358C" w:rsidRDefault="0068358C" w:rsidP="00FC34DC">
      <w:pPr>
        <w:pStyle w:val="Standard"/>
        <w:spacing w:before="0" w:after="0"/>
        <w:jc w:val="both"/>
        <w:rPr>
          <w:rFonts w:ascii="Noto Sans" w:hAnsi="Noto Sans" w:cs="Calibri"/>
        </w:rPr>
      </w:pPr>
    </w:p>
    <w:p w14:paraId="0D9E77E3" w14:textId="77777777" w:rsidR="0068358C" w:rsidRDefault="00C349B9" w:rsidP="00FC34DC">
      <w:pPr>
        <w:pStyle w:val="ListParagraph"/>
        <w:numPr>
          <w:ilvl w:val="0"/>
          <w:numId w:val="28"/>
        </w:numPr>
        <w:spacing w:before="28" w:after="0"/>
        <w:jc w:val="both"/>
      </w:pPr>
      <w:r>
        <w:rPr>
          <w:rFonts w:ascii="Noto Sans" w:hAnsi="Noto Sans" w:cs="Calibri"/>
        </w:rPr>
        <w:t xml:space="preserve">Le PAD prévoit encore de la construction de </w:t>
      </w:r>
      <w:r>
        <w:rPr>
          <w:rFonts w:ascii="Noto Sans" w:hAnsi="Noto Sans" w:cs="Calibri"/>
          <w:b/>
          <w:u w:val="single"/>
        </w:rPr>
        <w:t>nouveaux bureaux</w:t>
      </w:r>
      <w:r>
        <w:rPr>
          <w:rFonts w:ascii="Noto Sans" w:hAnsi="Noto Sans" w:cs="Calibri"/>
        </w:rPr>
        <w:t>, or le taux d’inoccupation des bureaux à Bruxelles Ville et dans le quartier européen en particulier est très élevé.</w:t>
      </w:r>
    </w:p>
    <w:p w14:paraId="1369FF9C" w14:textId="77777777" w:rsidR="0068358C" w:rsidRDefault="0068358C" w:rsidP="00FC34DC">
      <w:pPr>
        <w:pStyle w:val="ListParagraph"/>
        <w:spacing w:before="28" w:after="0"/>
        <w:ind w:left="360" w:firstLine="0"/>
        <w:jc w:val="both"/>
        <w:rPr>
          <w:rFonts w:ascii="Noto Sans" w:hAnsi="Noto Sans" w:cs="Calibri"/>
        </w:rPr>
      </w:pPr>
    </w:p>
    <w:p w14:paraId="131D98EB" w14:textId="1DE48D13" w:rsidR="0068358C" w:rsidRPr="00FC34DC" w:rsidRDefault="00C349B9" w:rsidP="00FC34DC">
      <w:pPr>
        <w:pStyle w:val="Standard"/>
        <w:spacing w:before="0" w:after="0"/>
        <w:jc w:val="both"/>
      </w:pPr>
      <w:r>
        <w:rPr>
          <w:rFonts w:ascii="Noto Sans" w:hAnsi="Noto Sans" w:cs="Calibri"/>
        </w:rPr>
        <w:t>Le 4/11 avait lieu au Parlement bruxellois la commission Développement du Terrotoire, et plusieurs députés interpellaient le  Ministre Président Vervoort.  Quelques affirmations intéressantes sont à retenir :</w:t>
      </w:r>
    </w:p>
    <w:p w14:paraId="71803101" w14:textId="77777777" w:rsidR="0068358C" w:rsidRDefault="00C349B9" w:rsidP="00FC34DC">
      <w:pPr>
        <w:pStyle w:val="ListParagraph"/>
        <w:numPr>
          <w:ilvl w:val="0"/>
          <w:numId w:val="32"/>
        </w:numPr>
        <w:spacing w:after="0"/>
        <w:jc w:val="both"/>
      </w:pPr>
      <w:r>
        <w:rPr>
          <w:rFonts w:ascii="Noto Sans" w:hAnsi="Noto Sans" w:cs="Calibri"/>
        </w:rPr>
        <w:t>M. Vervoort a affirmé que l’emplacement des zones de développement prioritaire (et donc des PAD) était dicté entre autres par la maitrise foncière par la Région.  Or ce qui frappe pour le PAD Loi c’est qu’il n’y a aucune maitrise foncière par la Région. Tout le foncier est entre les mains du privé (à l’exception de l’ilot 130 qui appartient à la CE).  D’où une conclusion que d’aucuns n’hésitent pas à tirer : le PAD loi sert la CE (car elle veut regrouper tous ses fonctionnaires en un endroit) et Atenor (qui a construit the One et veut construire le Leaselex). Quels sont les liens entre Atenor et la Région ?</w:t>
      </w:r>
    </w:p>
    <w:p w14:paraId="340D4BAA" w14:textId="3481398B" w:rsidR="0068358C" w:rsidRPr="0065059F" w:rsidRDefault="00C349B9" w:rsidP="00FC34DC">
      <w:pPr>
        <w:pStyle w:val="ListParagraph"/>
        <w:numPr>
          <w:ilvl w:val="0"/>
          <w:numId w:val="29"/>
        </w:numPr>
        <w:spacing w:after="0"/>
        <w:jc w:val="both"/>
      </w:pPr>
      <w:r>
        <w:rPr>
          <w:rFonts w:ascii="Noto Sans" w:hAnsi="Noto Sans" w:cs="Calibri"/>
        </w:rPr>
        <w:t xml:space="preserve">Par rapport à la remarque que pour les </w:t>
      </w:r>
      <w:r w:rsidR="0065059F">
        <w:rPr>
          <w:rFonts w:ascii="Noto Sans" w:hAnsi="Noto Sans" w:cs="Calibri"/>
        </w:rPr>
        <w:t xml:space="preserve">acteurs de la societe civile </w:t>
      </w:r>
      <w:r>
        <w:rPr>
          <w:rFonts w:ascii="Noto Sans" w:hAnsi="Noto Sans" w:cs="Calibri"/>
        </w:rPr>
        <w:t>il est difficile de participer à des réunions d’information sur différents PADs qui se tiennent au même moment et digérer de documents de 1600 pages/PAD, le Ministre Président fait valoir que les riverains n’habitent pas dans plusieurs zones en même temps – dans le mépris du droit des citoyen</w:t>
      </w:r>
      <w:r w:rsidR="0065059F">
        <w:rPr>
          <w:rFonts w:ascii="Noto Sans" w:hAnsi="Noto Sans" w:cs="Calibri"/>
        </w:rPr>
        <w:t xml:space="preserve">s de se former </w:t>
      </w:r>
      <w:r>
        <w:rPr>
          <w:rFonts w:ascii="Noto Sans" w:hAnsi="Noto Sans" w:cs="Calibri"/>
        </w:rPr>
        <w:t>une opinion et l’exprimer pour des dossier</w:t>
      </w:r>
      <w:r w:rsidR="0065059F">
        <w:rPr>
          <w:rFonts w:ascii="Noto Sans" w:hAnsi="Noto Sans" w:cs="Calibri"/>
        </w:rPr>
        <w:t>s</w:t>
      </w:r>
      <w:r>
        <w:rPr>
          <w:rFonts w:ascii="Noto Sans" w:hAnsi="Noto Sans" w:cs="Calibri"/>
        </w:rPr>
        <w:t xml:space="preserve"> n’importe où dans la ville, dans le mépris du rôle démocratique des corps intermédiaires. Les associations permettent d’expliquer et de relayer un certain nombre d’infos et d’avis et ne sont pas riveraine</w:t>
      </w:r>
      <w:r w:rsidR="0065059F">
        <w:rPr>
          <w:rFonts w:ascii="Noto Sans" w:hAnsi="Noto Sans" w:cs="Calibri"/>
        </w:rPr>
        <w:t>s</w:t>
      </w:r>
      <w:r>
        <w:rPr>
          <w:rFonts w:ascii="Noto Sans" w:hAnsi="Noto Sans" w:cs="Calibri"/>
        </w:rPr>
        <w:t xml:space="preserve"> d’un quartier. Rudi Ve</w:t>
      </w:r>
      <w:r w:rsidR="0065059F">
        <w:rPr>
          <w:rFonts w:ascii="Noto Sans" w:hAnsi="Noto Sans" w:cs="Calibri"/>
        </w:rPr>
        <w:t>rvoort discalifie leur parole et de facto les</w:t>
      </w:r>
      <w:r>
        <w:rPr>
          <w:rFonts w:ascii="Noto Sans" w:hAnsi="Noto Sans" w:cs="Calibri"/>
        </w:rPr>
        <w:t xml:space="preserve"> exclut du débat, ce qui est inacceptable.  Ceci pourrait également être signalée par tout  habitant qui considère que le travail des associations est important et utile. Enfin, tout usager du quartier européen ou de n’importe quel autre PAD, et tout habitant Bruxellois, a le droit et doit pouvoir exprimer son avis sur un PAD quel qu’il soit, qui concerne justement une « zone stratégique » pour la Région.</w:t>
      </w:r>
    </w:p>
    <w:p w14:paraId="4A9B7B7D" w14:textId="113CAC8B" w:rsidR="0068358C" w:rsidRPr="0065059F" w:rsidRDefault="00C349B9" w:rsidP="00FC34DC">
      <w:pPr>
        <w:pStyle w:val="ListParagraph"/>
        <w:numPr>
          <w:ilvl w:val="0"/>
          <w:numId w:val="29"/>
        </w:numPr>
        <w:spacing w:before="28" w:after="0"/>
        <w:jc w:val="both"/>
      </w:pPr>
      <w:r>
        <w:rPr>
          <w:rFonts w:ascii="Noto Sans" w:hAnsi="Noto Sans" w:cs="Calibri"/>
        </w:rPr>
        <w:t>Par rapport à la mobilité il a dit que cette question sera</w:t>
      </w:r>
      <w:r w:rsidR="0065059F">
        <w:rPr>
          <w:rFonts w:ascii="Noto Sans" w:hAnsi="Noto Sans" w:cs="Calibri"/>
        </w:rPr>
        <w:t xml:space="preserve"> régie par d’autres plans (Good</w:t>
      </w:r>
      <w:r>
        <w:rPr>
          <w:rFonts w:ascii="Noto Sans" w:hAnsi="Noto Sans" w:cs="Calibri"/>
        </w:rPr>
        <w:t xml:space="preserve">Move) et politiques… C’est bien au contraire par là qu’il faut commencer </w:t>
      </w:r>
      <w:r w:rsidR="0065059F">
        <w:rPr>
          <w:rFonts w:ascii="Noto Sans" w:hAnsi="Noto Sans" w:cs="Calibri"/>
        </w:rPr>
        <w:t xml:space="preserve">pour ameliorer la </w:t>
      </w:r>
      <w:r>
        <w:rPr>
          <w:rFonts w:ascii="Noto Sans" w:hAnsi="Noto Sans" w:cs="Calibri"/>
        </w:rPr>
        <w:t>rue de la Loi ! Le lien entre qualité de vie, habitabilité du quartier, amélioration des espaces publics doit être le premier champ d’action de la Région. De l’amélioration de l’environnement urbain et de la qualité des espaces publics dépendent la qualité de vie des habitants et l’attractivité du quartier. C’est même le seul levier efficace sur lequel la Région peut directement agir (elle n’est pas propriétaire des îlots, alors qu’elle peut intervenir sur l’aménagement de la rue et les choix de mobilité). Les habitants doivent demander une action à ce niveau-ci.</w:t>
      </w:r>
    </w:p>
    <w:p w14:paraId="5FB4156E" w14:textId="77777777" w:rsidR="0065059F" w:rsidRPr="0065059F" w:rsidRDefault="0065059F" w:rsidP="00FC34DC">
      <w:pPr>
        <w:spacing w:before="28" w:after="0"/>
      </w:pPr>
    </w:p>
    <w:p w14:paraId="49DD497E" w14:textId="77777777" w:rsidR="0068358C" w:rsidRDefault="00C349B9" w:rsidP="00FC34DC">
      <w:pPr>
        <w:pStyle w:val="Standard"/>
        <w:spacing w:before="0" w:after="0"/>
        <w:jc w:val="both"/>
      </w:pPr>
      <w:r>
        <w:rPr>
          <w:rFonts w:ascii="Noto Sans" w:hAnsi="Noto Sans" w:cs="Calibri"/>
          <w:b/>
          <w:color w:val="365F91"/>
          <w:sz w:val="24"/>
          <w:szCs w:val="24"/>
          <w:lang w:eastAsia="en-US"/>
        </w:rPr>
        <w:t>Débat, Questions et Contributions</w:t>
      </w:r>
    </w:p>
    <w:p w14:paraId="495953DE" w14:textId="77777777" w:rsidR="0068358C" w:rsidRDefault="00C349B9" w:rsidP="00FC34DC">
      <w:pPr>
        <w:pStyle w:val="Standard"/>
        <w:spacing w:before="0" w:after="0"/>
        <w:jc w:val="both"/>
      </w:pPr>
      <w:r>
        <w:rPr>
          <w:rFonts w:ascii="Noto Sans" w:hAnsi="Noto Sans" w:cs="Calibri"/>
        </w:rPr>
        <w:t xml:space="preserve">En ce qui concerne </w:t>
      </w:r>
      <w:r>
        <w:rPr>
          <w:rFonts w:ascii="Noto Sans" w:hAnsi="Noto Sans" w:cs="Calibri"/>
          <w:b/>
          <w:u w:val="single"/>
        </w:rPr>
        <w:t>la participation</w:t>
      </w:r>
      <w:r>
        <w:rPr>
          <w:rFonts w:ascii="Noto Sans" w:hAnsi="Noto Sans" w:cs="Calibri"/>
        </w:rPr>
        <w:t>, elle a été strictement décorative.  Il n’y aura pas de commission de concertation alors que c’est normalement un moment démocratique fondamental.</w:t>
      </w:r>
    </w:p>
    <w:p w14:paraId="4C6F7F0B" w14:textId="12F7E0E8" w:rsidR="0068358C" w:rsidRDefault="00C349B9" w:rsidP="00FC34DC">
      <w:pPr>
        <w:pStyle w:val="Standard"/>
        <w:spacing w:before="28" w:after="0"/>
        <w:jc w:val="both"/>
      </w:pPr>
      <w:r>
        <w:rPr>
          <w:rFonts w:ascii="Noto Sans" w:hAnsi="Noto Sans" w:cs="Calibri"/>
        </w:rPr>
        <w:t>La question de savoir si les bâtiments futurs auront encore besoin de passer par une enquête publique a reçu une réponse affirmative provisoire.  Cependant il est conseillé de poser cette question lors de l’enquête publique.</w:t>
      </w:r>
      <w:r w:rsidR="0065059F">
        <w:t xml:space="preserve">  </w:t>
      </w:r>
      <w:r>
        <w:rPr>
          <w:rFonts w:ascii="Noto Sans" w:hAnsi="Noto Sans" w:cs="Calibri"/>
        </w:rPr>
        <w:t xml:space="preserve">Un argument serait que les discussions autour du PAD permettraient davantage de consultation des citoyens que seulement des enquêtes publiques par bâtiment.  Or force est de constater qu’ il n’y a pas de consultation citoyenne.  </w:t>
      </w:r>
    </w:p>
    <w:p w14:paraId="6C69AAC7" w14:textId="77777777" w:rsidR="0068358C" w:rsidRDefault="0068358C" w:rsidP="00FC34DC">
      <w:pPr>
        <w:pStyle w:val="Standard"/>
        <w:spacing w:before="28" w:after="0"/>
        <w:jc w:val="both"/>
        <w:rPr>
          <w:rFonts w:ascii="Noto Sans" w:hAnsi="Noto Sans" w:cs="Calibri"/>
        </w:rPr>
      </w:pPr>
    </w:p>
    <w:p w14:paraId="2CC986B6" w14:textId="77777777" w:rsidR="0068358C" w:rsidRDefault="00C349B9" w:rsidP="00FC34DC">
      <w:pPr>
        <w:pStyle w:val="Standard"/>
        <w:spacing w:before="0" w:after="0"/>
        <w:jc w:val="both"/>
      </w:pPr>
      <w:r>
        <w:rPr>
          <w:rFonts w:ascii="Noto Sans" w:hAnsi="Noto Sans" w:cs="Calibri"/>
        </w:rPr>
        <w:t xml:space="preserve">L’ARAU propose que le </w:t>
      </w:r>
      <w:r>
        <w:rPr>
          <w:rFonts w:ascii="Noto Sans" w:hAnsi="Noto Sans" w:cs="Calibri"/>
          <w:b/>
          <w:u w:val="single"/>
        </w:rPr>
        <w:t>développement de la rue de loi commence par la mobilité</w:t>
      </w:r>
      <w:r>
        <w:rPr>
          <w:rFonts w:ascii="Noto Sans" w:hAnsi="Noto Sans" w:cs="Calibri"/>
        </w:rPr>
        <w:t xml:space="preserve"> : si nous voulons être propositionnel, créatifs et cohérents on pourrait proposer une rue de la Loi à 2 bandes, un tram dans la rue de Loi, plus de place pour les vélos et les piétons (il ne s’agit pas d’évacuer toutes les voitures).  </w:t>
      </w:r>
    </w:p>
    <w:p w14:paraId="4A41B5AE" w14:textId="77777777" w:rsidR="0068358C" w:rsidRDefault="0068358C" w:rsidP="00FC34DC">
      <w:pPr>
        <w:pStyle w:val="Standard"/>
        <w:spacing w:before="0" w:after="0"/>
        <w:jc w:val="both"/>
        <w:rPr>
          <w:rFonts w:ascii="Noto Sans" w:hAnsi="Noto Sans" w:cs="Calibri"/>
        </w:rPr>
      </w:pPr>
    </w:p>
    <w:p w14:paraId="55E3AB94" w14:textId="77777777" w:rsidR="0068358C" w:rsidRDefault="00C349B9" w:rsidP="00FC34DC">
      <w:pPr>
        <w:pStyle w:val="Standard"/>
        <w:spacing w:before="0" w:after="0"/>
        <w:jc w:val="both"/>
      </w:pPr>
      <w:r>
        <w:rPr>
          <w:rFonts w:ascii="Noto Sans" w:hAnsi="Noto Sans" w:cs="Calibri"/>
        </w:rPr>
        <w:t>La discussion a fait ressortir la crainte que réduire le flux sur la rue de la Loi entrainerait un déversement de voitures dans les quartiers avoisinants.  S’ajoute à cela le fait qu’à chaque sommet européen, à chaque manifestation, la mobilité est déjà gravement perturbée, notamment aussi du côté de la Place Jourdan. En plus des rues, les métros sont saturés et l’EU va ajouter 5000 fonctionnaires sur le site ?  Par ailleurs les piétonisations en cours ou prévues (Jourdan, Luxembourg, Schuman …) se font un à un sans analyse de l’impact sur l’ensemble des quartiers environnants.</w:t>
      </w:r>
    </w:p>
    <w:p w14:paraId="1A3A1EAA" w14:textId="77777777" w:rsidR="0068358C" w:rsidRDefault="0068358C" w:rsidP="00FC34DC">
      <w:pPr>
        <w:pStyle w:val="Standard"/>
        <w:spacing w:before="0" w:after="0"/>
        <w:jc w:val="both"/>
        <w:rPr>
          <w:rFonts w:ascii="Noto Sans" w:hAnsi="Noto Sans" w:cs="Calibri"/>
        </w:rPr>
      </w:pPr>
    </w:p>
    <w:p w14:paraId="0F64374C" w14:textId="4F09A32C" w:rsidR="00FC34DC" w:rsidRDefault="00C349B9" w:rsidP="00FC34DC">
      <w:pPr>
        <w:pStyle w:val="Standard"/>
        <w:spacing w:before="0" w:after="0"/>
        <w:jc w:val="both"/>
        <w:rPr>
          <w:rFonts w:ascii="Noto Sans" w:hAnsi="Noto Sans" w:cs="Calibri"/>
        </w:rPr>
      </w:pPr>
      <w:r>
        <w:rPr>
          <w:rFonts w:ascii="Noto Sans" w:hAnsi="Noto Sans" w:cs="Calibri"/>
        </w:rPr>
        <w:t>Que se passera-t-il avec</w:t>
      </w:r>
      <w:r>
        <w:rPr>
          <w:rFonts w:ascii="Noto Sans" w:hAnsi="Noto Sans" w:cs="Calibri"/>
          <w:b/>
          <w:u w:val="single"/>
        </w:rPr>
        <w:t xml:space="preserve"> les bâtiments qui seront libérés par l’EU </w:t>
      </w:r>
      <w:r>
        <w:rPr>
          <w:rFonts w:ascii="Noto Sans" w:hAnsi="Noto Sans" w:cs="Calibri"/>
        </w:rPr>
        <w:t>? Seront-ils reconvertis en du logement ?  Une question importante à suivre.</w:t>
      </w:r>
    </w:p>
    <w:p w14:paraId="3FC5AF58" w14:textId="77777777" w:rsidR="00FC34DC" w:rsidRPr="00FC34DC" w:rsidRDefault="00FC34DC" w:rsidP="00FC34DC">
      <w:pPr>
        <w:pStyle w:val="Standard"/>
        <w:spacing w:before="0" w:after="0"/>
        <w:jc w:val="both"/>
        <w:rPr>
          <w:rFonts w:ascii="Noto Sans" w:hAnsi="Noto Sans" w:cs="Calibri"/>
        </w:rPr>
      </w:pPr>
    </w:p>
    <w:p w14:paraId="12AA0B1F" w14:textId="207953B2" w:rsidR="00FC34DC" w:rsidRDefault="00C349B9" w:rsidP="00FC34DC">
      <w:pPr>
        <w:pStyle w:val="Standard"/>
        <w:spacing w:before="0" w:after="0"/>
        <w:jc w:val="both"/>
        <w:rPr>
          <w:rFonts w:ascii="Noto Sans" w:hAnsi="Noto Sans" w:cs="Calibri"/>
        </w:rPr>
      </w:pPr>
      <w:r>
        <w:rPr>
          <w:rFonts w:ascii="Noto Sans" w:hAnsi="Noto Sans" w:cs="Calibri"/>
        </w:rPr>
        <w:t xml:space="preserve">Le fait </w:t>
      </w:r>
      <w:r>
        <w:rPr>
          <w:rFonts w:ascii="Noto Sans" w:hAnsi="Noto Sans" w:cs="Calibri"/>
          <w:b/>
          <w:u w:val="single"/>
        </w:rPr>
        <w:t>de bâtir en retrait de la route</w:t>
      </w:r>
      <w:r>
        <w:rPr>
          <w:rFonts w:ascii="Noto Sans" w:hAnsi="Noto Sans" w:cs="Calibri"/>
        </w:rPr>
        <w:t xml:space="preserve"> et d’ouvrir les ilots intérieurs pour passage entre les tours soulève également des questions : c’est la bruxellisation 40 ans après.  Ces propositions ont de nombreux inconvénients : pour les habitants (pour permettre un espace privé il faut plutôt favoriser les ilots intérieurs), pour les commerçants (qui seront déconnecté du chaland), pour l’environnement (le RIE souligne : plus de bruit, plus de vent quand il y a un alignement discontinu).  Pour l’ARAU il est plus efficace de garder un front bâti continu donne beaucoup plus de confort en intérieur d’îlot, et qui permet de réduire certaines pollutions et nuisances pour les habitants  (vent, bruit).</w:t>
      </w:r>
    </w:p>
    <w:p w14:paraId="698C8650" w14:textId="77777777" w:rsidR="00FC34DC" w:rsidRPr="00FC34DC" w:rsidRDefault="00FC34DC" w:rsidP="00FC34DC">
      <w:pPr>
        <w:pStyle w:val="Standard"/>
        <w:spacing w:before="0" w:after="0"/>
        <w:jc w:val="both"/>
        <w:rPr>
          <w:rFonts w:ascii="Noto Sans" w:hAnsi="Noto Sans" w:cs="Calibri"/>
        </w:rPr>
      </w:pPr>
    </w:p>
    <w:p w14:paraId="7FA0DF21" w14:textId="77777777" w:rsidR="0068358C" w:rsidRDefault="00C349B9" w:rsidP="00FC34DC">
      <w:pPr>
        <w:pStyle w:val="Standard"/>
        <w:spacing w:before="0" w:after="0"/>
        <w:jc w:val="both"/>
      </w:pPr>
      <w:r>
        <w:rPr>
          <w:rFonts w:ascii="Noto Sans" w:hAnsi="Noto Sans" w:cs="Calibri"/>
        </w:rPr>
        <w:t xml:space="preserve">Il y  la question </w:t>
      </w:r>
      <w:r>
        <w:rPr>
          <w:rFonts w:ascii="Noto Sans" w:hAnsi="Noto Sans" w:cs="Calibri"/>
          <w:b/>
          <w:u w:val="single"/>
        </w:rPr>
        <w:t>des parking</w:t>
      </w:r>
      <w:r>
        <w:rPr>
          <w:rFonts w:ascii="Noto Sans" w:hAnsi="Noto Sans" w:cs="Calibri"/>
        </w:rPr>
        <w:t> : la Commission européenne demande 900 places pour les voitures et les tours Atenor 350. Le BRAL estime que le PAD Loi est en ce moment une opportunité manquée pour mettre plus de restrictions pour la construction de parking par m</w:t>
      </w:r>
      <w:r>
        <w:rPr>
          <w:rFonts w:ascii="Noto Sans" w:hAnsi="Noto Sans" w:cs="Calibri"/>
          <w:vertAlign w:val="superscript"/>
        </w:rPr>
        <w:t xml:space="preserve">2 </w:t>
      </w:r>
      <w:r>
        <w:rPr>
          <w:rFonts w:ascii="Noto Sans" w:hAnsi="Noto Sans" w:cs="Calibri"/>
        </w:rPr>
        <w:t>de bureaux.</w:t>
      </w:r>
    </w:p>
    <w:p w14:paraId="599D0320" w14:textId="77777777" w:rsidR="0068358C" w:rsidRDefault="00C349B9" w:rsidP="00FC34DC">
      <w:pPr>
        <w:pStyle w:val="Standard"/>
        <w:spacing w:before="0" w:after="0"/>
        <w:jc w:val="both"/>
      </w:pPr>
      <w:r>
        <w:rPr>
          <w:rFonts w:ascii="Noto Sans" w:hAnsi="Noto Sans" w:cs="Calibri"/>
        </w:rPr>
        <w:t>Certains riverains n’ont pas hésité de dire qu’il semblerait que le PAD Loi propose tout à fait le contraire de ce qui va attirer les gens à vivre dans ce quartier : plus de trafic, plus de pollution, plus d’ombres, plus de vents, le transport public plus encombré, cheminement de piétons incertain… tout cela risque de mener à une désertification du quartier.</w:t>
      </w:r>
    </w:p>
    <w:p w14:paraId="778DD27D" w14:textId="77777777" w:rsidR="0068358C" w:rsidRDefault="0068358C" w:rsidP="00FC34DC">
      <w:pPr>
        <w:pStyle w:val="Standard"/>
        <w:spacing w:before="0" w:after="0"/>
        <w:jc w:val="both"/>
        <w:rPr>
          <w:rFonts w:ascii="Noto Sans" w:hAnsi="Noto Sans" w:cs="Calibri"/>
        </w:rPr>
      </w:pPr>
    </w:p>
    <w:p w14:paraId="16D10CE2" w14:textId="77777777" w:rsidR="0068358C" w:rsidRDefault="00C349B9" w:rsidP="00FC34DC">
      <w:pPr>
        <w:pStyle w:val="Standard"/>
        <w:spacing w:before="0" w:after="0"/>
        <w:jc w:val="both"/>
      </w:pPr>
      <w:r>
        <w:rPr>
          <w:rFonts w:ascii="Noto Sans" w:hAnsi="Noto Sans" w:cs="Calibri"/>
        </w:rPr>
        <w:t>Le Comité de Tervuren a obtenu un RDV avec Ministre Président Vervoort le 12 novembre (date provisoire) et propose d’y aller avec un panel de citoyens pour former un bloc.  Certains habitants cautionnent et proposent de l’écouter et pas trop lui révéler notre argumentaire.</w:t>
      </w:r>
    </w:p>
    <w:p w14:paraId="6CE7FD29" w14:textId="77777777" w:rsidR="0068358C" w:rsidRDefault="0068358C" w:rsidP="00FC34DC">
      <w:pPr>
        <w:pStyle w:val="Standard"/>
        <w:spacing w:before="0" w:after="0"/>
        <w:jc w:val="both"/>
        <w:rPr>
          <w:rFonts w:ascii="Noto Sans" w:hAnsi="Noto Sans" w:cs="Calibri"/>
        </w:rPr>
      </w:pPr>
    </w:p>
    <w:p w14:paraId="1AE7FD8A" w14:textId="77777777" w:rsidR="0068358C" w:rsidRDefault="00C349B9" w:rsidP="00FC34DC">
      <w:pPr>
        <w:pStyle w:val="Standard"/>
        <w:spacing w:before="0" w:after="0"/>
        <w:jc w:val="both"/>
      </w:pPr>
      <w:r>
        <w:rPr>
          <w:rFonts w:ascii="Noto Sans" w:hAnsi="Noto Sans" w:cs="Calibri"/>
        </w:rPr>
        <w:t>Le GAQ propose une lettre citoyenne, dont une ébauche a été distribuée lors de la réunion et qui peut encore être améliorée et que les citoyens peuvent utiliser, ajuster avec leurs propres mots pour inonder les responsables régionaux et communaux avec des questions et objections concernant le PAD.</w:t>
      </w:r>
    </w:p>
    <w:p w14:paraId="50F6637C" w14:textId="77777777" w:rsidR="0068358C" w:rsidRDefault="0068358C" w:rsidP="00FC34DC">
      <w:pPr>
        <w:pStyle w:val="Standard"/>
        <w:spacing w:before="0" w:after="0"/>
        <w:jc w:val="both"/>
        <w:rPr>
          <w:rFonts w:ascii="Noto Sans" w:hAnsi="Noto Sans" w:cs="Calibri"/>
        </w:rPr>
      </w:pPr>
    </w:p>
    <w:p w14:paraId="2197AC50" w14:textId="77777777" w:rsidR="00FC34DC" w:rsidRDefault="00C349B9" w:rsidP="00FC34DC">
      <w:pPr>
        <w:pStyle w:val="Standard"/>
        <w:spacing w:before="0" w:after="0"/>
        <w:jc w:val="both"/>
        <w:rPr>
          <w:rFonts w:ascii="Noto Sans" w:hAnsi="Noto Sans" w:cs="Calibri"/>
        </w:rPr>
      </w:pPr>
      <w:r>
        <w:rPr>
          <w:rFonts w:ascii="Noto Sans" w:hAnsi="Noto Sans" w:cs="Calibri"/>
        </w:rPr>
        <w:t>La Coordination Bruxelles-Europe (dont GAQ, AQL, ARAU, IEB, BRAL et le Comité Jourdan font partie) réalisera aussi un atelier pour développer des affiches et nous faisons appel aux habitants pour aider à sensibiliser les voisins, leur faire parvenir l’information, l’affiche et la lettre citoyenne dans leur boite à lettre.</w:t>
      </w:r>
    </w:p>
    <w:p w14:paraId="4DE37DEE" w14:textId="77777777" w:rsidR="00FC34DC" w:rsidRDefault="00FC34DC" w:rsidP="00FC34DC">
      <w:pPr>
        <w:pStyle w:val="Standard"/>
        <w:spacing w:before="0" w:after="0"/>
        <w:jc w:val="both"/>
        <w:rPr>
          <w:rFonts w:ascii="Noto Sans" w:hAnsi="Noto Sans" w:cs="Calibri"/>
        </w:rPr>
      </w:pPr>
    </w:p>
    <w:p w14:paraId="311973F7" w14:textId="77777777" w:rsidR="00FC34DC" w:rsidRDefault="00FC34DC" w:rsidP="00FC34DC">
      <w:pPr>
        <w:pStyle w:val="Standard"/>
        <w:spacing w:before="0" w:after="0"/>
        <w:jc w:val="both"/>
        <w:rPr>
          <w:rFonts w:ascii="Noto Sans" w:hAnsi="Noto Sans" w:cs="Calibri"/>
          <w:b/>
          <w:color w:val="365F91"/>
          <w:sz w:val="24"/>
          <w:szCs w:val="24"/>
          <w:lang w:eastAsia="en-US"/>
        </w:rPr>
      </w:pPr>
      <w:r>
        <w:rPr>
          <w:rFonts w:ascii="Noto Sans" w:hAnsi="Noto Sans" w:cs="Calibri"/>
          <w:b/>
          <w:color w:val="365F91"/>
          <w:sz w:val="24"/>
          <w:szCs w:val="24"/>
          <w:lang w:eastAsia="en-US"/>
        </w:rPr>
        <w:t>Divers</w:t>
      </w:r>
    </w:p>
    <w:p w14:paraId="2B834A91" w14:textId="38829283" w:rsidR="0068358C" w:rsidRDefault="00C349B9" w:rsidP="00FC34DC">
      <w:pPr>
        <w:pStyle w:val="Standard"/>
        <w:spacing w:before="0" w:after="0"/>
        <w:jc w:val="both"/>
      </w:pPr>
      <w:r>
        <w:rPr>
          <w:rFonts w:ascii="Noto Sans" w:hAnsi="Noto Sans" w:cs="Calibri"/>
        </w:rPr>
        <w:t xml:space="preserve">Le </w:t>
      </w:r>
      <w:r>
        <w:rPr>
          <w:rFonts w:ascii="Noto Sans" w:hAnsi="Noto Sans" w:cs="Calibri"/>
          <w:b/>
          <w:u w:val="single"/>
        </w:rPr>
        <w:t>GAQ a une nouvelle présidence </w:t>
      </w:r>
      <w:r>
        <w:rPr>
          <w:rFonts w:ascii="Noto Sans" w:hAnsi="Noto Sans" w:cs="Calibri"/>
        </w:rPr>
        <w:t>:  Hannes Frank, se retire comme Président après 7 années de bons et loyaux services au quartier.  Barbara Bentein a été désignée pour lui succéder.  Pierre Luc Vervandier est le nouveau vice-président.</w:t>
      </w:r>
    </w:p>
    <w:p w14:paraId="66D05C70" w14:textId="77777777" w:rsidR="0068358C" w:rsidRDefault="0068358C" w:rsidP="00FC34DC">
      <w:pPr>
        <w:pStyle w:val="Standard"/>
        <w:spacing w:before="0" w:after="0"/>
        <w:jc w:val="both"/>
        <w:rPr>
          <w:rFonts w:ascii="Noto Sans" w:hAnsi="Noto Sans" w:cs="Calibri"/>
        </w:rPr>
      </w:pPr>
    </w:p>
    <w:p w14:paraId="627724A1" w14:textId="77777777" w:rsidR="0068358C" w:rsidRDefault="00C349B9" w:rsidP="00FC34DC">
      <w:pPr>
        <w:pStyle w:val="Standard"/>
        <w:spacing w:before="0" w:after="0"/>
        <w:jc w:val="both"/>
      </w:pPr>
      <w:r>
        <w:rPr>
          <w:rFonts w:ascii="Noto Sans" w:hAnsi="Noto Sans" w:cs="Calibri"/>
        </w:rPr>
        <w:t xml:space="preserve">Il y aura </w:t>
      </w:r>
      <w:r>
        <w:rPr>
          <w:rFonts w:ascii="Noto Sans" w:hAnsi="Noto Sans" w:cs="Calibri"/>
          <w:b/>
          <w:u w:val="single"/>
        </w:rPr>
        <w:t>Winterpop</w:t>
      </w:r>
      <w:r>
        <w:rPr>
          <w:rFonts w:ascii="Noto Sans" w:hAnsi="Noto Sans" w:cs="Calibri"/>
          <w:u w:val="single"/>
        </w:rPr>
        <w:t xml:space="preserve"> </w:t>
      </w:r>
      <w:r>
        <w:rPr>
          <w:rFonts w:ascii="Noto Sans" w:hAnsi="Noto Sans" w:cs="Calibri"/>
        </w:rPr>
        <w:t>sur le Square Ambiorix le dernier weekend de novembre et le 1</w:t>
      </w:r>
      <w:r>
        <w:rPr>
          <w:rFonts w:ascii="Noto Sans" w:hAnsi="Noto Sans" w:cs="Calibri"/>
          <w:vertAlign w:val="superscript"/>
        </w:rPr>
        <w:t>er</w:t>
      </w:r>
      <w:r>
        <w:rPr>
          <w:rFonts w:ascii="Noto Sans" w:hAnsi="Noto Sans" w:cs="Calibri"/>
        </w:rPr>
        <w:t xml:space="preserve"> décembre. Le GAQ y participe et cherche de bénévoles pour aider à tenir notre stand.</w:t>
      </w:r>
    </w:p>
    <w:p w14:paraId="0FC51C91" w14:textId="77777777" w:rsidR="0068358C" w:rsidRDefault="0068358C" w:rsidP="00FC34DC">
      <w:pPr>
        <w:pStyle w:val="Standard"/>
        <w:spacing w:before="0" w:after="0"/>
        <w:jc w:val="both"/>
        <w:rPr>
          <w:rFonts w:ascii="Noto Sans" w:hAnsi="Noto Sans" w:cs="Calibri"/>
        </w:rPr>
      </w:pPr>
    </w:p>
    <w:p w14:paraId="17E5A59E" w14:textId="77777777" w:rsidR="0068358C" w:rsidRDefault="00C349B9" w:rsidP="00FC34DC">
      <w:pPr>
        <w:pStyle w:val="Standard"/>
        <w:spacing w:before="0" w:after="0"/>
        <w:jc w:val="both"/>
      </w:pPr>
      <w:r>
        <w:rPr>
          <w:rFonts w:ascii="Noto Sans" w:hAnsi="Noto Sans" w:cs="Calibri"/>
        </w:rPr>
        <w:t>Fait à Bruxelles, le 6 novembre 2019.</w:t>
      </w:r>
      <w:bookmarkStart w:id="0" w:name="_GoBack"/>
      <w:bookmarkEnd w:id="0"/>
    </w:p>
    <w:sectPr w:rsidR="0068358C" w:rsidSect="00410ECA">
      <w:footerReference w:type="default" r:id="rId8"/>
      <w:pgSz w:w="11906" w:h="16838"/>
      <w:pgMar w:top="720" w:right="720" w:bottom="1134" w:left="720" w:header="709" w:footer="709"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365A" w14:textId="77777777" w:rsidR="005F5234" w:rsidRDefault="005F5234">
      <w:pPr>
        <w:spacing w:before="0" w:after="0"/>
      </w:pPr>
      <w:r>
        <w:separator/>
      </w:r>
    </w:p>
  </w:endnote>
  <w:endnote w:type="continuationSeparator" w:id="0">
    <w:p w14:paraId="08DD1020" w14:textId="77777777" w:rsidR="005F5234" w:rsidRDefault="005F5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F">
    <w:altName w:val="Times New Roman"/>
    <w:charset w:val="00"/>
    <w:family w:val="auto"/>
    <w:pitch w:val="variable"/>
  </w:font>
  <w:font w:name="Noto Serif">
    <w:altName w:val="Noto Serif Myanmar"/>
    <w:charset w:val="00"/>
    <w:family w:val="auto"/>
    <w:pitch w:val="variable"/>
    <w:sig w:usb0="80000003" w:usb1="00002000" w:usb2="080004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Noto Sans">
    <w:panose1 w:val="020B0502040504020204"/>
    <w:charset w:val="00"/>
    <w:family w:val="auto"/>
    <w:pitch w:val="variable"/>
    <w:sig w:usb0="E00002FF" w:usb1="400078FF" w:usb2="0000002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3270" w14:textId="77777777" w:rsidR="00410ECA" w:rsidRDefault="00410ECA" w:rsidP="00410ECA">
    <w:pPr>
      <w:pStyle w:val="Footer"/>
      <w:spacing w:before="0" w:after="0"/>
      <w:ind w:right="-2"/>
      <w:jc w:val="center"/>
      <w:rPr>
        <w:rFonts w:ascii="Noto Sans" w:hAnsi="Noto Sans"/>
        <w:b/>
        <w:sz w:val="18"/>
        <w:szCs w:val="18"/>
      </w:rPr>
    </w:pPr>
  </w:p>
  <w:p w14:paraId="1001CD5B" w14:textId="77777777" w:rsidR="00410ECA" w:rsidRDefault="00410ECA" w:rsidP="00410ECA">
    <w:pPr>
      <w:pStyle w:val="Footer"/>
      <w:spacing w:before="0" w:after="0"/>
      <w:ind w:right="-2"/>
      <w:jc w:val="center"/>
      <w:rPr>
        <w:rFonts w:ascii="Noto Sans" w:hAnsi="Noto Sans"/>
        <w:b/>
        <w:sz w:val="18"/>
        <w:szCs w:val="18"/>
      </w:rPr>
    </w:pPr>
  </w:p>
  <w:p w14:paraId="52CB01AE" w14:textId="77777777" w:rsidR="00410ECA" w:rsidRPr="00410ECA" w:rsidRDefault="00C349B9" w:rsidP="00410ECA">
    <w:pPr>
      <w:pStyle w:val="Footer"/>
      <w:spacing w:before="0" w:after="0"/>
      <w:ind w:right="-2"/>
      <w:jc w:val="center"/>
      <w:rPr>
        <w:rFonts w:ascii="Noto Sans" w:hAnsi="Noto Sans"/>
        <w:b/>
        <w:sz w:val="18"/>
        <w:szCs w:val="18"/>
      </w:rPr>
    </w:pPr>
    <w:r w:rsidRPr="00410ECA">
      <w:rPr>
        <w:rFonts w:ascii="Noto Sans" w:hAnsi="Noto Sans"/>
        <w:b/>
        <w:sz w:val="18"/>
        <w:szCs w:val="18"/>
      </w:rPr>
      <w:t xml:space="preserve">GAQ </w:t>
    </w:r>
    <w:r w:rsidRPr="00410ECA">
      <w:rPr>
        <w:rFonts w:ascii="Noto Sans" w:hAnsi="Noto Sans" w:cs="Calibri"/>
        <w:b/>
        <w:sz w:val="18"/>
        <w:szCs w:val="18"/>
      </w:rPr>
      <w:t>asbl</w:t>
    </w:r>
    <w:r w:rsidRPr="00410ECA">
      <w:rPr>
        <w:rFonts w:ascii="Noto Sans" w:hAnsi="Noto Sans"/>
        <w:b/>
        <w:sz w:val="18"/>
        <w:szCs w:val="18"/>
      </w:rPr>
      <w:t xml:space="preserve"> </w:t>
    </w:r>
    <w:r w:rsidRPr="00410ECA">
      <w:rPr>
        <w:rFonts w:ascii="Noto Sans" w:hAnsi="Noto Sans"/>
        <w:sz w:val="18"/>
        <w:szCs w:val="18"/>
      </w:rPr>
      <w:t></w:t>
    </w:r>
    <w:r w:rsidRPr="00410ECA">
      <w:rPr>
        <w:rFonts w:ascii="Noto Sans" w:hAnsi="Noto Sans"/>
        <w:b/>
        <w:sz w:val="18"/>
        <w:szCs w:val="18"/>
      </w:rPr>
      <w:t xml:space="preserve"> R</w:t>
    </w:r>
    <w:r w:rsidRPr="00410ECA">
      <w:rPr>
        <w:rFonts w:ascii="Noto Sans" w:hAnsi="Noto Sans" w:cs="Calibri"/>
        <w:b/>
        <w:sz w:val="18"/>
        <w:szCs w:val="18"/>
      </w:rPr>
      <w:t>ue Charles</w:t>
    </w:r>
    <w:r w:rsidRPr="00410ECA">
      <w:rPr>
        <w:rFonts w:ascii="Noto Sans" w:hAnsi="Noto Sans"/>
        <w:b/>
        <w:sz w:val="18"/>
        <w:szCs w:val="18"/>
      </w:rPr>
      <w:t xml:space="preserve"> </w:t>
    </w:r>
    <w:r w:rsidRPr="00410ECA">
      <w:rPr>
        <w:rFonts w:ascii="Noto Sans" w:hAnsi="Noto Sans" w:cs="Calibri"/>
        <w:b/>
        <w:sz w:val="18"/>
        <w:szCs w:val="18"/>
      </w:rPr>
      <w:t>Quint</w:t>
    </w:r>
    <w:r w:rsidRPr="00410ECA">
      <w:rPr>
        <w:rFonts w:ascii="Noto Sans" w:hAnsi="Noto Sans"/>
        <w:b/>
        <w:sz w:val="18"/>
        <w:szCs w:val="18"/>
      </w:rPr>
      <w:t xml:space="preserve"> </w:t>
    </w:r>
    <w:r w:rsidRPr="00410ECA">
      <w:rPr>
        <w:rFonts w:ascii="Noto Sans" w:hAnsi="Noto Sans" w:cs="Calibri"/>
        <w:b/>
        <w:sz w:val="18"/>
        <w:szCs w:val="18"/>
      </w:rPr>
      <w:t>130</w:t>
    </w:r>
    <w:r w:rsidRPr="00410ECA">
      <w:rPr>
        <w:rFonts w:ascii="Noto Sans" w:hAnsi="Noto Sans"/>
        <w:b/>
        <w:sz w:val="18"/>
        <w:szCs w:val="18"/>
      </w:rPr>
      <w:t xml:space="preserve"> </w:t>
    </w:r>
    <w:r w:rsidRPr="00410ECA">
      <w:rPr>
        <w:rFonts w:ascii="Noto Sans" w:hAnsi="Noto Sans"/>
        <w:sz w:val="18"/>
        <w:szCs w:val="18"/>
      </w:rPr>
      <w:t></w:t>
    </w:r>
    <w:r w:rsidRPr="00410ECA">
      <w:rPr>
        <w:rFonts w:ascii="Noto Sans" w:hAnsi="Noto Sans"/>
        <w:b/>
        <w:sz w:val="18"/>
        <w:szCs w:val="18"/>
      </w:rPr>
      <w:t xml:space="preserve">  1000 </w:t>
    </w:r>
    <w:r w:rsidRPr="00410ECA">
      <w:rPr>
        <w:rFonts w:ascii="Noto Sans" w:hAnsi="Noto Sans" w:cs="Calibri"/>
        <w:b/>
        <w:sz w:val="18"/>
        <w:szCs w:val="18"/>
      </w:rPr>
      <w:t>Bruxelles</w:t>
    </w:r>
    <w:r w:rsidRPr="00410ECA">
      <w:rPr>
        <w:rFonts w:ascii="Noto Sans" w:hAnsi="Noto Sans"/>
        <w:b/>
        <w:sz w:val="18"/>
        <w:szCs w:val="18"/>
      </w:rPr>
      <w:t xml:space="preserve"> </w:t>
    </w:r>
    <w:r w:rsidRPr="00410ECA">
      <w:rPr>
        <w:rFonts w:ascii="Noto Sans" w:hAnsi="Noto Sans"/>
        <w:b/>
        <w:sz w:val="18"/>
        <w:szCs w:val="18"/>
      </w:rPr>
      <w:t> ww</w:t>
    </w:r>
    <w:r w:rsidRPr="00410ECA">
      <w:rPr>
        <w:rFonts w:ascii="Noto Sans" w:hAnsi="Noto Sans" w:cs="Calibri"/>
        <w:b/>
        <w:sz w:val="18"/>
        <w:szCs w:val="18"/>
      </w:rPr>
      <w:t>w.gaq.be</w:t>
    </w:r>
    <w:r w:rsidRPr="00410ECA">
      <w:rPr>
        <w:rFonts w:ascii="Noto Sans" w:hAnsi="Noto Sans"/>
        <w:b/>
        <w:sz w:val="18"/>
        <w:szCs w:val="18"/>
      </w:rPr>
      <w:t xml:space="preserve"> </w:t>
    </w:r>
    <w:r w:rsidRPr="00410ECA">
      <w:rPr>
        <w:rFonts w:ascii="Noto Sans" w:hAnsi="Noto Sans"/>
        <w:sz w:val="18"/>
        <w:szCs w:val="18"/>
      </w:rPr>
      <w:t></w:t>
    </w:r>
    <w:r w:rsidRPr="00410ECA">
      <w:rPr>
        <w:rFonts w:ascii="Noto Sans" w:hAnsi="Noto Sans"/>
        <w:b/>
        <w:sz w:val="18"/>
        <w:szCs w:val="18"/>
      </w:rPr>
      <w:t xml:space="preserve"> </w:t>
    </w:r>
    <w:r w:rsidRPr="00410ECA">
      <w:rPr>
        <w:rFonts w:ascii="Noto Sans" w:hAnsi="Noto Sans" w:cs="Calibri"/>
        <w:b/>
        <w:sz w:val="18"/>
        <w:szCs w:val="18"/>
      </w:rPr>
      <w:t>ca</w:t>
    </w:r>
    <w:r w:rsidRPr="00410ECA">
      <w:rPr>
        <w:rFonts w:ascii="Noto Sans" w:hAnsi="Noto Sans"/>
        <w:b/>
        <w:sz w:val="18"/>
        <w:szCs w:val="18"/>
      </w:rPr>
      <w:t>@</w:t>
    </w:r>
    <w:r w:rsidRPr="00410ECA">
      <w:rPr>
        <w:rFonts w:ascii="Noto Sans" w:hAnsi="Noto Sans" w:cs="Calibri"/>
        <w:b/>
        <w:sz w:val="18"/>
        <w:szCs w:val="18"/>
      </w:rPr>
      <w:t>gaq.be</w:t>
    </w:r>
    <w:r w:rsidRPr="00410ECA">
      <w:rPr>
        <w:rFonts w:ascii="Noto Sans" w:hAnsi="Noto Sans"/>
        <w:b/>
        <w:sz w:val="18"/>
        <w:szCs w:val="18"/>
      </w:rPr>
      <w:t xml:space="preserve">                    </w:t>
    </w:r>
  </w:p>
  <w:p w14:paraId="1BC60D9E" w14:textId="510C5045" w:rsidR="007215EC" w:rsidRPr="00410ECA" w:rsidRDefault="00C349B9" w:rsidP="00410ECA">
    <w:pPr>
      <w:pStyle w:val="Footer"/>
      <w:spacing w:before="0" w:after="120"/>
      <w:ind w:right="-2"/>
      <w:jc w:val="center"/>
      <w:rPr>
        <w:rFonts w:ascii="Noto Sans" w:hAnsi="Noto Sans"/>
        <w:sz w:val="18"/>
        <w:szCs w:val="18"/>
      </w:rPr>
    </w:pPr>
    <w:r w:rsidRPr="00410ECA">
      <w:rPr>
        <w:rFonts w:ascii="Noto Sans" w:hAnsi="Noto Sans" w:cs="Calibri"/>
        <w:sz w:val="18"/>
        <w:szCs w:val="18"/>
        <w:lang w:val="fr-FR"/>
      </w:rPr>
      <w:t xml:space="preserve">Editeur responsable </w:t>
    </w:r>
    <w:r w:rsidRPr="00410ECA">
      <w:rPr>
        <w:rFonts w:ascii="Noto Sans" w:hAnsi="Noto Sans" w:cs="Calibri"/>
        <w:sz w:val="18"/>
        <w:szCs w:val="18"/>
      </w:rPr>
      <w:t>:Barbara Bentein, Pr</w:t>
    </w:r>
    <w:r w:rsidRPr="00410ECA">
      <w:rPr>
        <w:rFonts w:ascii="Noto Sans" w:eastAsia="Calibri" w:hAnsi="Noto Sans" w:cs="Calibri"/>
        <w:sz w:val="18"/>
        <w:szCs w:val="18"/>
      </w:rPr>
      <w:t>ésidente</w:t>
    </w:r>
    <w:r w:rsidRPr="00410ECA">
      <w:rPr>
        <w:rFonts w:ascii="Noto Sans" w:hAnsi="Noto Sans" w:cs="Calibri"/>
        <w:sz w:val="18"/>
        <w:szCs w:val="18"/>
      </w:rPr>
      <w:t xml:space="preserve">          </w:t>
    </w:r>
    <w:r w:rsidRPr="00410ECA">
      <w:rPr>
        <w:rFonts w:ascii="Noto Sans" w:hAnsi="Noto Sans"/>
        <w:sz w:val="18"/>
        <w:szCs w:val="18"/>
      </w:rPr>
      <w:t>p.</w:t>
    </w:r>
    <w:r w:rsidRPr="00410ECA">
      <w:rPr>
        <w:rFonts w:ascii="Noto Sans" w:hAnsi="Noto Sans"/>
        <w:b/>
        <w:sz w:val="18"/>
        <w:szCs w:val="18"/>
      </w:rPr>
      <w:t xml:space="preserve"> </w:t>
    </w:r>
    <w:r w:rsidRPr="00410ECA">
      <w:rPr>
        <w:rFonts w:ascii="Noto Sans" w:hAnsi="Noto Sans"/>
        <w:sz w:val="18"/>
        <w:szCs w:val="18"/>
      </w:rPr>
      <w:fldChar w:fldCharType="begin"/>
    </w:r>
    <w:r w:rsidRPr="00410ECA">
      <w:rPr>
        <w:rFonts w:ascii="Noto Sans" w:hAnsi="Noto Sans"/>
        <w:sz w:val="18"/>
        <w:szCs w:val="18"/>
      </w:rPr>
      <w:instrText xml:space="preserve"> PAGE </w:instrText>
    </w:r>
    <w:r w:rsidRPr="00410ECA">
      <w:rPr>
        <w:rFonts w:ascii="Noto Sans" w:hAnsi="Noto Sans"/>
        <w:sz w:val="18"/>
        <w:szCs w:val="18"/>
      </w:rPr>
      <w:fldChar w:fldCharType="separate"/>
    </w:r>
    <w:r w:rsidR="005F5234">
      <w:rPr>
        <w:rFonts w:ascii="Noto Sans" w:hAnsi="Noto Sans"/>
        <w:noProof/>
        <w:sz w:val="18"/>
        <w:szCs w:val="18"/>
      </w:rPr>
      <w:t>1</w:t>
    </w:r>
    <w:r w:rsidRPr="00410ECA">
      <w:rPr>
        <w:rFonts w:ascii="Noto Sans" w:hAnsi="Noto Sans"/>
        <w:sz w:val="18"/>
        <w:szCs w:val="18"/>
      </w:rPr>
      <w:fldChar w:fldCharType="end"/>
    </w:r>
    <w:r w:rsidRPr="00410ECA">
      <w:rPr>
        <w:rFonts w:ascii="Noto Sans" w:hAnsi="Noto Sans"/>
        <w:sz w:val="18"/>
        <w:szCs w:val="18"/>
      </w:rPr>
      <w:t xml:space="preserve"> de </w:t>
    </w:r>
    <w:r w:rsidRPr="00410ECA">
      <w:rPr>
        <w:rFonts w:ascii="Noto Sans" w:hAnsi="Noto Sans"/>
        <w:sz w:val="18"/>
        <w:szCs w:val="18"/>
      </w:rPr>
      <w:fldChar w:fldCharType="begin"/>
    </w:r>
    <w:r w:rsidRPr="00410ECA">
      <w:rPr>
        <w:rFonts w:ascii="Noto Sans" w:hAnsi="Noto Sans"/>
        <w:sz w:val="18"/>
        <w:szCs w:val="18"/>
      </w:rPr>
      <w:instrText xml:space="preserve"> NUMPAGES </w:instrText>
    </w:r>
    <w:r w:rsidRPr="00410ECA">
      <w:rPr>
        <w:rFonts w:ascii="Noto Sans" w:hAnsi="Noto Sans"/>
        <w:sz w:val="18"/>
        <w:szCs w:val="18"/>
      </w:rPr>
      <w:fldChar w:fldCharType="separate"/>
    </w:r>
    <w:r w:rsidR="005F5234">
      <w:rPr>
        <w:rFonts w:ascii="Noto Sans" w:hAnsi="Noto Sans"/>
        <w:noProof/>
        <w:sz w:val="18"/>
        <w:szCs w:val="18"/>
      </w:rPr>
      <w:t>1</w:t>
    </w:r>
    <w:r w:rsidRPr="00410ECA">
      <w:rPr>
        <w:rFonts w:ascii="Noto Sans" w:hAnsi="Noto San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00BA2" w14:textId="77777777" w:rsidR="005F5234" w:rsidRDefault="005F5234">
      <w:pPr>
        <w:spacing w:before="0" w:after="0"/>
      </w:pPr>
      <w:r>
        <w:rPr>
          <w:color w:val="000000"/>
        </w:rPr>
        <w:separator/>
      </w:r>
    </w:p>
  </w:footnote>
  <w:footnote w:type="continuationSeparator" w:id="0">
    <w:p w14:paraId="58EE23D2" w14:textId="77777777" w:rsidR="005F5234" w:rsidRDefault="005F5234">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12B"/>
    <w:multiLevelType w:val="multilevel"/>
    <w:tmpl w:val="E16230F0"/>
    <w:styleLink w:val="WWNum24"/>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nsid w:val="053A289E"/>
    <w:multiLevelType w:val="multilevel"/>
    <w:tmpl w:val="D8CED9B8"/>
    <w:styleLink w:val="WWNum2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7086193"/>
    <w:multiLevelType w:val="multilevel"/>
    <w:tmpl w:val="3A8ECBF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D519E4"/>
    <w:multiLevelType w:val="multilevel"/>
    <w:tmpl w:val="CF44FC3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C31783D"/>
    <w:multiLevelType w:val="multilevel"/>
    <w:tmpl w:val="0478F2E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3892B6B"/>
    <w:multiLevelType w:val="multilevel"/>
    <w:tmpl w:val="E75E8E3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4070456"/>
    <w:multiLevelType w:val="multilevel"/>
    <w:tmpl w:val="2A8459C8"/>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159B1842"/>
    <w:multiLevelType w:val="multilevel"/>
    <w:tmpl w:val="B64AA864"/>
    <w:styleLink w:val="WWNum20"/>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nsid w:val="16365683"/>
    <w:multiLevelType w:val="multilevel"/>
    <w:tmpl w:val="68C83F6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18F46F8D"/>
    <w:multiLevelType w:val="multilevel"/>
    <w:tmpl w:val="69EE38F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EEC08DF"/>
    <w:multiLevelType w:val="multilevel"/>
    <w:tmpl w:val="1F1E4CF0"/>
    <w:styleLink w:val="Outline"/>
    <w:lvl w:ilvl="0">
      <w:start w:val="1"/>
      <w:numFmt w:val="decimal"/>
      <w:lvlText w:val="%1."/>
      <w:lvlJc w:val="left"/>
      <w:pPr>
        <w:ind w:left="0" w:hanging="284"/>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nsid w:val="23221465"/>
    <w:multiLevelType w:val="multilevel"/>
    <w:tmpl w:val="3572B5E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5635A27"/>
    <w:multiLevelType w:val="multilevel"/>
    <w:tmpl w:val="A134E26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3CFB29AA"/>
    <w:multiLevelType w:val="multilevel"/>
    <w:tmpl w:val="5388D8D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FC06B01"/>
    <w:multiLevelType w:val="multilevel"/>
    <w:tmpl w:val="C82E211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580721F"/>
    <w:multiLevelType w:val="multilevel"/>
    <w:tmpl w:val="AA341BC0"/>
    <w:styleLink w:val="WWNum26"/>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nsid w:val="4BD32083"/>
    <w:multiLevelType w:val="multilevel"/>
    <w:tmpl w:val="D1AC455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C1E6AFE"/>
    <w:multiLevelType w:val="multilevel"/>
    <w:tmpl w:val="AF68A52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F39770C"/>
    <w:multiLevelType w:val="multilevel"/>
    <w:tmpl w:val="B2C00774"/>
    <w:styleLink w:val="WWNum21"/>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nsid w:val="506C184F"/>
    <w:multiLevelType w:val="multilevel"/>
    <w:tmpl w:val="73FA9C7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5CDE6B54"/>
    <w:multiLevelType w:val="multilevel"/>
    <w:tmpl w:val="6F22EC2C"/>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52F0736"/>
    <w:multiLevelType w:val="multilevel"/>
    <w:tmpl w:val="9E583B26"/>
    <w:styleLink w:val="WWNum25"/>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2">
    <w:nsid w:val="65651827"/>
    <w:multiLevelType w:val="multilevel"/>
    <w:tmpl w:val="8F8C6B0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6E359E3"/>
    <w:multiLevelType w:val="multilevel"/>
    <w:tmpl w:val="5838BB2A"/>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93156D0"/>
    <w:multiLevelType w:val="multilevel"/>
    <w:tmpl w:val="7B666402"/>
    <w:styleLink w:val="WWNum23"/>
    <w:lvl w:ilvl="0">
      <w:start w:val="1"/>
      <w:numFmt w:val="decimal"/>
      <w:lvlText w:val="%1."/>
      <w:lvlJc w:val="left"/>
      <w:pPr>
        <w:ind w:left="0" w:hanging="284"/>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nsid w:val="6B4E6C32"/>
    <w:multiLevelType w:val="multilevel"/>
    <w:tmpl w:val="30A4734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1757529"/>
    <w:multiLevelType w:val="multilevel"/>
    <w:tmpl w:val="0EB6A86E"/>
    <w:styleLink w:val="WWNum2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7CDF3CE9"/>
    <w:multiLevelType w:val="multilevel"/>
    <w:tmpl w:val="018472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DC07C84"/>
    <w:multiLevelType w:val="multilevel"/>
    <w:tmpl w:val="4A4CBB6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8"/>
  </w:num>
  <w:num w:numId="3">
    <w:abstractNumId w:val="22"/>
  </w:num>
  <w:num w:numId="4">
    <w:abstractNumId w:val="13"/>
  </w:num>
  <w:num w:numId="5">
    <w:abstractNumId w:val="16"/>
  </w:num>
  <w:num w:numId="6">
    <w:abstractNumId w:val="27"/>
  </w:num>
  <w:num w:numId="7">
    <w:abstractNumId w:val="19"/>
  </w:num>
  <w:num w:numId="8">
    <w:abstractNumId w:val="11"/>
  </w:num>
  <w:num w:numId="9">
    <w:abstractNumId w:val="5"/>
  </w:num>
  <w:num w:numId="10">
    <w:abstractNumId w:val="9"/>
  </w:num>
  <w:num w:numId="11">
    <w:abstractNumId w:val="12"/>
  </w:num>
  <w:num w:numId="12">
    <w:abstractNumId w:val="17"/>
  </w:num>
  <w:num w:numId="13">
    <w:abstractNumId w:val="14"/>
  </w:num>
  <w:num w:numId="14">
    <w:abstractNumId w:val="4"/>
  </w:num>
  <w:num w:numId="15">
    <w:abstractNumId w:val="28"/>
  </w:num>
  <w:num w:numId="16">
    <w:abstractNumId w:val="23"/>
  </w:num>
  <w:num w:numId="17">
    <w:abstractNumId w:val="20"/>
  </w:num>
  <w:num w:numId="18">
    <w:abstractNumId w:val="2"/>
  </w:num>
  <w:num w:numId="19">
    <w:abstractNumId w:val="25"/>
  </w:num>
  <w:num w:numId="20">
    <w:abstractNumId w:val="3"/>
  </w:num>
  <w:num w:numId="21">
    <w:abstractNumId w:val="7"/>
  </w:num>
  <w:num w:numId="22">
    <w:abstractNumId w:val="18"/>
  </w:num>
  <w:num w:numId="23">
    <w:abstractNumId w:val="6"/>
  </w:num>
  <w:num w:numId="24">
    <w:abstractNumId w:val="24"/>
  </w:num>
  <w:num w:numId="25">
    <w:abstractNumId w:val="0"/>
  </w:num>
  <w:num w:numId="26">
    <w:abstractNumId w:val="21"/>
  </w:num>
  <w:num w:numId="27">
    <w:abstractNumId w:val="15"/>
  </w:num>
  <w:num w:numId="28">
    <w:abstractNumId w:val="26"/>
  </w:num>
  <w:num w:numId="29">
    <w:abstractNumId w:val="1"/>
  </w:num>
  <w:num w:numId="30">
    <w:abstractNumId w:val="8"/>
    <w:lvlOverride w:ilvl="0">
      <w:startOverride w:val="1"/>
    </w:lvlOverride>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C"/>
    <w:rsid w:val="000049B2"/>
    <w:rsid w:val="0025385E"/>
    <w:rsid w:val="00410ECA"/>
    <w:rsid w:val="005F5234"/>
    <w:rsid w:val="0065059F"/>
    <w:rsid w:val="0068358C"/>
    <w:rsid w:val="008155E6"/>
    <w:rsid w:val="00C349B9"/>
    <w:rsid w:val="00E2794E"/>
    <w:rsid w:val="00FC3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3DD779"/>
  <w15:docId w15:val="{9F145F2A-37AB-498F-BDE3-156BCDE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en-GB" w:eastAsia="en-GB" w:bidi="ar-SA"/>
      </w:rPr>
    </w:rPrDefault>
    <w:pPrDefault>
      <w:pPr>
        <w:widowControl w:val="0"/>
        <w:suppressAutoHyphens/>
        <w:autoSpaceDN w:val="0"/>
        <w:spacing w:before="60" w:after="60"/>
        <w:jc w:val="both"/>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pBdr>
        <w:bottom w:val="single" w:sz="4" w:space="1" w:color="00000A"/>
      </w:pBdr>
      <w:spacing w:before="240"/>
      <w:ind w:hanging="284"/>
      <w:outlineLvl w:val="0"/>
    </w:pPr>
    <w:rPr>
      <w:rFonts w:ascii="Cambria" w:hAnsi="Cambria"/>
      <w:b/>
      <w:bCs/>
      <w:color w:val="365F91"/>
      <w:sz w:val="28"/>
      <w:szCs w:val="28"/>
    </w:rPr>
  </w:style>
  <w:style w:type="paragraph" w:styleId="Heading2">
    <w:name w:val="heading 2"/>
    <w:basedOn w:val="Standard"/>
    <w:next w:val="Textbody"/>
    <w:uiPriority w:val="9"/>
    <w:unhideWhenUsed/>
    <w:qFormat/>
    <w:pPr>
      <w:keepNext/>
      <w:keepLines/>
      <w:spacing w:before="200"/>
      <w:outlineLvl w:val="1"/>
    </w:pPr>
    <w:rPr>
      <w:rFonts w:ascii="Cambria" w:hAnsi="Cambria"/>
      <w:b/>
      <w:bCs/>
      <w:color w:val="4F81BD"/>
      <w:sz w:val="26"/>
      <w:szCs w:val="26"/>
      <w:lang w:val="en-GB"/>
    </w:rPr>
  </w:style>
  <w:style w:type="paragraph" w:styleId="Heading3">
    <w:name w:val="heading 3"/>
    <w:basedOn w:val="Standard"/>
    <w:next w:val="Textbody"/>
    <w:uiPriority w:val="9"/>
    <w:unhideWhenUsed/>
    <w:qFormat/>
    <w:pPr>
      <w:keepNext/>
      <w:keepLines/>
      <w:spacing w:before="120"/>
      <w:outlineLvl w:val="2"/>
    </w:pPr>
    <w:rPr>
      <w:rFonts w:ascii="Cambria" w:hAnsi="Cambria" w:cs="F"/>
      <w:b/>
      <w:bCs/>
      <w:color w:val="4F81BD"/>
      <w:lang w:eastAsia="en-US"/>
    </w:rPr>
  </w:style>
  <w:style w:type="paragraph" w:styleId="Heading4">
    <w:name w:val="heading 4"/>
    <w:basedOn w:val="Standard"/>
    <w:next w:val="Textbody"/>
    <w:uiPriority w:val="9"/>
    <w:semiHidden/>
    <w:unhideWhenUsed/>
    <w:qFormat/>
    <w:pPr>
      <w:keepNext/>
      <w:keepLines/>
      <w:spacing w:before="200"/>
      <w:ind w:left="360"/>
      <w:outlineLvl w:val="3"/>
    </w:pPr>
    <w:rPr>
      <w:rFonts w:ascii="Cambria" w:hAnsi="Cambria" w:cs="F"/>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before="100" w:after="100"/>
      <w:jc w:val="left"/>
    </w:pPr>
    <w:rPr>
      <w:rFonts w:ascii="Noto Serif" w:eastAsia="Times New Roman" w:hAnsi="Noto Serif"/>
      <w:szCs w:val="22"/>
      <w:lang w:val="fr-BE"/>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before="0"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customStyle="1" w:styleId="RecipientAddress">
    <w:name w:val="Recipient Address"/>
    <w:basedOn w:val="Standard"/>
    <w:rPr>
      <w:rFonts w:ascii="Corbel" w:eastAsia="Corbel" w:hAnsi="Corbel"/>
      <w:lang w:val="en-US"/>
    </w:rPr>
  </w:style>
  <w:style w:type="paragraph" w:styleId="ListParagraph">
    <w:name w:val="List Paragraph"/>
    <w:basedOn w:val="Standard"/>
    <w:pPr>
      <w:tabs>
        <w:tab w:val="left" w:pos="568"/>
      </w:tabs>
      <w:spacing w:before="0" w:after="180"/>
      <w:ind w:left="284" w:hanging="284"/>
    </w:pPr>
    <w:rPr>
      <w:lang w:eastAsia="en-US"/>
    </w:rPr>
  </w:style>
  <w:style w:type="paragraph" w:styleId="Title">
    <w:name w:val="Title"/>
    <w:basedOn w:val="Standard"/>
    <w:next w:val="Subtitle"/>
    <w:uiPriority w:val="10"/>
    <w:qFormat/>
    <w:pPr>
      <w:widowControl w:val="0"/>
      <w:spacing w:before="240" w:after="360"/>
      <w:ind w:left="-284"/>
    </w:pPr>
    <w:rPr>
      <w:rFonts w:ascii="Cambria" w:hAnsi="Cambria" w:cs="F"/>
      <w:b/>
      <w:bCs/>
      <w:spacing w:val="-10"/>
      <w:sz w:val="48"/>
      <w:szCs w:val="56"/>
      <w:lang w:val="en-US" w:eastAsia="en-US"/>
    </w:rPr>
  </w:style>
  <w:style w:type="paragraph" w:styleId="Subtitle">
    <w:name w:val="Subtitle"/>
    <w:basedOn w:val="Heading"/>
    <w:next w:val="Textbody"/>
    <w:uiPriority w:val="11"/>
    <w:qFormat/>
    <w:pPr>
      <w:jc w:val="center"/>
    </w:pPr>
    <w:rPr>
      <w:i/>
      <w:iCs/>
    </w:rPr>
  </w:style>
  <w:style w:type="paragraph" w:customStyle="1" w:styleId="ListeNumerot">
    <w:name w:val="ListeNumeroté"/>
    <w:basedOn w:val="Standard"/>
    <w:pPr>
      <w:tabs>
        <w:tab w:val="left" w:pos="1134"/>
      </w:tabs>
      <w:spacing w:before="0" w:after="0"/>
      <w:ind w:left="567" w:hanging="567"/>
    </w:pPr>
  </w:style>
  <w:style w:type="character" w:customStyle="1" w:styleId="Titre1Car">
    <w:name w:val="Titre 1 Car"/>
    <w:rPr>
      <w:rFonts w:ascii="Cambria" w:eastAsia="Times New Roman" w:hAnsi="Cambria"/>
      <w:b/>
      <w:bCs/>
      <w:color w:val="365F91"/>
      <w:sz w:val="28"/>
      <w:szCs w:val="28"/>
      <w:u w:val="none"/>
      <w:lang w:val="fr-BE"/>
    </w:rPr>
  </w:style>
  <w:style w:type="character" w:customStyle="1" w:styleId="Titre2Car">
    <w:name w:val="Titre 2 Car"/>
    <w:rPr>
      <w:rFonts w:ascii="Cambria" w:eastAsia="Times New Roman" w:hAnsi="Cambria"/>
      <w:b/>
      <w:bCs/>
      <w:color w:val="4F81BD"/>
      <w:sz w:val="26"/>
      <w:szCs w:val="26"/>
    </w:rPr>
  </w:style>
  <w:style w:type="character" w:customStyle="1" w:styleId="En-tteCar">
    <w:name w:val="En-tête Car"/>
    <w:rPr>
      <w:sz w:val="22"/>
      <w:szCs w:val="22"/>
      <w:lang w:eastAsia="en-US"/>
    </w:rPr>
  </w:style>
  <w:style w:type="character" w:customStyle="1" w:styleId="PieddepageCar">
    <w:name w:val="Pied de page Car"/>
    <w:rPr>
      <w:sz w:val="22"/>
      <w:szCs w:val="22"/>
      <w:lang w:eastAsia="en-US"/>
    </w:rPr>
  </w:style>
  <w:style w:type="character" w:customStyle="1" w:styleId="TextedebullesCar">
    <w:name w:val="Texte de bulles Car"/>
    <w:rPr>
      <w:rFonts w:ascii="Tahoma" w:hAnsi="Tahoma" w:cs="Tahoma"/>
      <w:sz w:val="16"/>
      <w:szCs w:val="16"/>
      <w:lang w:eastAsia="en-US"/>
    </w:rPr>
  </w:style>
  <w:style w:type="character" w:customStyle="1" w:styleId="Internetlink">
    <w:name w:val="Internet link"/>
    <w:rPr>
      <w:color w:val="0000FF"/>
      <w:u w:val="single"/>
    </w:rPr>
  </w:style>
  <w:style w:type="character" w:customStyle="1" w:styleId="Titre3Car">
    <w:name w:val="Titre 3 Car"/>
    <w:basedOn w:val="DefaultParagraphFont"/>
    <w:rPr>
      <w:rFonts w:ascii="Cambria" w:hAnsi="Cambria" w:cs="F"/>
      <w:b/>
      <w:bCs/>
      <w:color w:val="4F81BD"/>
      <w:sz w:val="22"/>
      <w:szCs w:val="22"/>
      <w:lang w:val="fr-FR" w:eastAsia="en-US"/>
    </w:rPr>
  </w:style>
  <w:style w:type="character" w:customStyle="1" w:styleId="Titre4Car">
    <w:name w:val="Titre 4 Car"/>
    <w:basedOn w:val="DefaultParagraphFont"/>
    <w:rPr>
      <w:rFonts w:ascii="Cambria" w:hAnsi="Cambria" w:cs="F"/>
      <w:b/>
      <w:bCs/>
      <w:i/>
      <w:iCs/>
      <w:color w:val="4F81BD"/>
      <w:lang w:val="fr-BE"/>
    </w:rPr>
  </w:style>
  <w:style w:type="character" w:customStyle="1" w:styleId="TitreCar">
    <w:name w:val="Titre Car"/>
    <w:basedOn w:val="DefaultParagraphFont"/>
    <w:rPr>
      <w:rFonts w:ascii="Cambria" w:hAnsi="Cambria" w:cs="F"/>
      <w:spacing w:val="-10"/>
      <w:kern w:val="3"/>
      <w:sz w:val="48"/>
      <w:szCs w:val="56"/>
      <w:lang w:val="en-US" w:eastAsia="en-US"/>
    </w:rPr>
  </w:style>
  <w:style w:type="character" w:customStyle="1" w:styleId="ListeNumerotChar">
    <w:name w:val="ListeNumeroté Char"/>
    <w:basedOn w:val="DefaultParagraphFont"/>
    <w:rPr>
      <w:rFonts w:ascii="Noto Serif" w:eastAsia="Times New Roman" w:hAnsi="Noto Serif"/>
      <w:szCs w:val="22"/>
      <w:lang w:val="fr-BE"/>
    </w:rPr>
  </w:style>
  <w:style w:type="character" w:customStyle="1" w:styleId="ListLabel1">
    <w:name w:val="ListLabel 1"/>
    <w:rPr>
      <w:rFonts w:cs="Courier New"/>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11594</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Ordre du jour</vt:lpstr>
      <vt:lpstr>        Le PAD Loi</vt:lpstr>
      <vt:lpstr>        Divers    </vt:lpstr>
      <vt:lpstr>Eléments principaux de présentations et débat PAD Loi</vt:lpstr>
      <vt:lpstr>Divers</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2019-11-06T14:35:00Z</cp:lastPrinted>
  <dcterms:created xsi:type="dcterms:W3CDTF">2019-11-16T17:13:00Z</dcterms:created>
  <dcterms:modified xsi:type="dcterms:W3CDTF">2019-11-16T17:13:00Z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